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41" w:rsidRDefault="00295341">
      <w:pPr>
        <w:rPr>
          <w:b/>
          <w:lang w:val="nl-NL"/>
        </w:rPr>
      </w:pPr>
      <w:r>
        <w:rPr>
          <w:b/>
          <w:lang w:val="nl-NL"/>
        </w:rPr>
        <w:t>BVNT2 – 21 mei 2016</w:t>
      </w:r>
    </w:p>
    <w:p w:rsidR="00295341" w:rsidRDefault="00295341" w:rsidP="00295341">
      <w:pPr>
        <w:rPr>
          <w:rFonts w:cs="Arial"/>
          <w:b/>
          <w:lang w:val="nl-NL"/>
        </w:rPr>
      </w:pPr>
      <w:r w:rsidRPr="00295341">
        <w:rPr>
          <w:b/>
          <w:lang w:val="nl-NL"/>
        </w:rPr>
        <w:t xml:space="preserve">Workshop </w:t>
      </w:r>
      <w:r w:rsidRPr="00295341">
        <w:rPr>
          <w:rFonts w:cs="Arial"/>
          <w:b/>
          <w:lang w:val="nl-NL"/>
        </w:rPr>
        <w:t>Peer feedback organiseren in schrijfgroepen: een goed begin…</w:t>
      </w:r>
    </w:p>
    <w:p w:rsidR="00295341" w:rsidRPr="00295341" w:rsidRDefault="00295341" w:rsidP="00295341">
      <w:pPr>
        <w:rPr>
          <w:b/>
          <w:lang w:val="nl-NL"/>
        </w:rPr>
      </w:pPr>
    </w:p>
    <w:p w:rsidR="00295341" w:rsidRPr="00295341" w:rsidRDefault="00295341">
      <w:pPr>
        <w:rPr>
          <w:lang w:val="nl-NL"/>
        </w:rPr>
      </w:pPr>
      <w:r w:rsidRPr="00295341">
        <w:rPr>
          <w:lang w:val="nl-NL"/>
        </w:rPr>
        <w:t>Angeniet Kam/ Instituut voor Talen en Academische Vaardigheden TU Delft, a.e.kam@tudelft.nl</w:t>
      </w:r>
    </w:p>
    <w:p w:rsidR="00295341" w:rsidRDefault="00295341">
      <w:pPr>
        <w:rPr>
          <w:b/>
          <w:lang w:val="nl-NL"/>
        </w:rPr>
      </w:pPr>
    </w:p>
    <w:p w:rsidR="006F7BAB" w:rsidRDefault="006F7BAB">
      <w:pPr>
        <w:rPr>
          <w:b/>
          <w:lang w:val="nl-NL"/>
        </w:rPr>
      </w:pPr>
      <w:r>
        <w:rPr>
          <w:b/>
          <w:lang w:val="nl-NL"/>
        </w:rPr>
        <w:t>Voorbeeld 1</w:t>
      </w:r>
      <w:r w:rsidR="004A3CF8">
        <w:rPr>
          <w:b/>
          <w:lang w:val="nl-NL"/>
        </w:rPr>
        <w:t xml:space="preserve"> (genre: ingezonden brief)</w:t>
      </w:r>
    </w:p>
    <w:p w:rsidR="006F7BAB" w:rsidRPr="006F7BAB" w:rsidRDefault="004A3CF8" w:rsidP="006F7BAB">
      <w:pPr>
        <w:rPr>
          <w:lang w:val="nl-NL"/>
        </w:rPr>
      </w:pPr>
      <w:r>
        <w:rPr>
          <w:lang w:val="nl-NL"/>
        </w:rPr>
        <w:t>[</w:t>
      </w:r>
      <w:r w:rsidR="006F7BAB" w:rsidRPr="006F7BAB">
        <w:rPr>
          <w:lang w:val="nl-NL"/>
        </w:rPr>
        <w:t>Sinds Januari van dit jaar, 2014, woon ik, afkomstig uit Amerika, in Nederland.  Met enige verbazing lees en hoor ik voortdurend in kranten en op tv berichten over de crisis.  Iedereen heeft het over “de crisis”  Maar is er een echte crisis gaande in dit land?</w:t>
      </w:r>
      <w:r>
        <w:rPr>
          <w:lang w:val="nl-NL"/>
        </w:rPr>
        <w:t>]</w:t>
      </w:r>
      <w:r w:rsidR="006F7BAB" w:rsidRPr="006F7BAB">
        <w:rPr>
          <w:lang w:val="nl-NL"/>
        </w:rPr>
        <w:t xml:space="preserve">  Nederland is een rijk land, een van de rijkste in de wereld.  De belasting is hoog, maar mensen hebben toch genoeg geld voor hun huizen (kleine huizen, maar Nederland is ook klein!), één of twee </w:t>
      </w:r>
      <w:proofErr w:type="spellStart"/>
      <w:r w:rsidR="006F7BAB" w:rsidRPr="006F7BAB">
        <w:rPr>
          <w:lang w:val="nl-NL"/>
        </w:rPr>
        <w:t>autos</w:t>
      </w:r>
      <w:proofErr w:type="spellEnd"/>
      <w:r w:rsidR="006F7BAB" w:rsidRPr="006F7BAB">
        <w:rPr>
          <w:lang w:val="nl-NL"/>
        </w:rPr>
        <w:t xml:space="preserve">, televisie en internet dienst (heel goedkoper en beter dan Amerika), en soms om buitenhuis te eten.  In Amerika veel mensen hebben niet genoeg geld om hun huis betaling te betalen, en dan moeten ze hun huis verkopen.  Maar vaak hun huis is niet zo duur als toen ze het </w:t>
      </w:r>
      <w:proofErr w:type="spellStart"/>
      <w:r w:rsidR="006F7BAB" w:rsidRPr="006F7BAB">
        <w:rPr>
          <w:lang w:val="nl-NL"/>
        </w:rPr>
        <w:t>gekoopt</w:t>
      </w:r>
      <w:proofErr w:type="spellEnd"/>
      <w:r w:rsidR="006F7BAB" w:rsidRPr="006F7BAB">
        <w:rPr>
          <w:lang w:val="nl-NL"/>
        </w:rPr>
        <w:t xml:space="preserve">!  Ze zijn “onderwater”, en het is een groot probleem.   De bevolking zijn niet alleen met hun problemen; grote bedrijven hebben ook grote problemen.  Twee </w:t>
      </w:r>
      <w:proofErr w:type="spellStart"/>
      <w:r w:rsidR="006F7BAB" w:rsidRPr="006F7BAB">
        <w:rPr>
          <w:lang w:val="nl-NL"/>
        </w:rPr>
        <w:t>Amerikanse</w:t>
      </w:r>
      <w:proofErr w:type="spellEnd"/>
      <w:r w:rsidR="006F7BAB" w:rsidRPr="006F7BAB">
        <w:rPr>
          <w:lang w:val="nl-NL"/>
        </w:rPr>
        <w:t xml:space="preserve"> autobedrijven, General Motors en Chrysler, zijn bankroet!  Ze moeten hulp van de overheid om hun fabrieken te houden open.  De derde, Ford, houdt zijn hoofd nauwelijks boven water.  Als een van deze grote bedrijven sluit zijn fabrieken hebben we een baancrisis.  Veel mensen zonder werk!  Dat is een echte ramp.  Maar in Nederland heb ik niks over zo’n crisis gehoorde.  Nederlandse bedrijven,  zoals Phillips en de veel landbouwbedrijven met hun kassen door de Westlands landschap, zijn nog gezond.  Ik heb ook niks over een huiscrisis in Nederland gehoord.  Jawel, een verhoging van de belasting is niet leuk voor iemand, en minder geld voor diensten van de overheid (openbare scholen bijvoorbeeld) is een bitter pil te eten, maar Nederlanders heb het niet zo slecht als veel mensen van andere landen.  Is er een crisis in Nederland?  Ja, de economie heeft een verlaging, maar Nederland, en de Nederlanders, blijft rijk.  </w:t>
      </w:r>
    </w:p>
    <w:p w:rsidR="006F7BAB" w:rsidRDefault="006F7BAB">
      <w:pPr>
        <w:rPr>
          <w:b/>
          <w:lang w:val="nl-NL"/>
        </w:rPr>
      </w:pPr>
    </w:p>
    <w:p w:rsidR="006F7BAB" w:rsidRDefault="006F7BAB">
      <w:pPr>
        <w:rPr>
          <w:b/>
          <w:lang w:val="nl-NL"/>
        </w:rPr>
      </w:pPr>
      <w:r>
        <w:rPr>
          <w:b/>
          <w:lang w:val="nl-NL"/>
        </w:rPr>
        <w:t>Voorbeeld 2</w:t>
      </w:r>
      <w:r w:rsidR="004A3CF8">
        <w:rPr>
          <w:b/>
          <w:lang w:val="nl-NL"/>
        </w:rPr>
        <w:t xml:space="preserve"> (genre: brief aan </w:t>
      </w:r>
      <w:proofErr w:type="spellStart"/>
      <w:r w:rsidR="004A3CF8">
        <w:rPr>
          <w:b/>
          <w:lang w:val="nl-NL"/>
        </w:rPr>
        <w:t>gemeeente</w:t>
      </w:r>
      <w:proofErr w:type="spellEnd"/>
      <w:r w:rsidR="004A3CF8">
        <w:rPr>
          <w:b/>
          <w:lang w:val="nl-NL"/>
        </w:rPr>
        <w:t>)</w:t>
      </w:r>
    </w:p>
    <w:p w:rsidR="006F7BAB" w:rsidRPr="000A104A" w:rsidRDefault="006F7BAB" w:rsidP="006F7BAB">
      <w:pPr>
        <w:rPr>
          <w:rStyle w:val="5yl5"/>
          <w:lang w:val="nl-NL"/>
        </w:rPr>
      </w:pPr>
      <w:r w:rsidRPr="000A104A">
        <w:rPr>
          <w:rStyle w:val="5yl5"/>
          <w:lang w:val="nl-NL"/>
        </w:rPr>
        <w:t xml:space="preserve">Geachte Gemeenteraad, </w:t>
      </w:r>
    </w:p>
    <w:p w:rsidR="006F7BAB" w:rsidRPr="002F7E03" w:rsidRDefault="006F7BAB" w:rsidP="006F7BAB">
      <w:pPr>
        <w:rPr>
          <w:rStyle w:val="5yl5"/>
          <w:lang w:val="nl-NL"/>
        </w:rPr>
      </w:pPr>
      <w:r w:rsidRPr="000A104A">
        <w:rPr>
          <w:rStyle w:val="5yl5"/>
          <w:lang w:val="nl-NL"/>
        </w:rPr>
        <w:t xml:space="preserve">Ik </w:t>
      </w:r>
      <w:r>
        <w:rPr>
          <w:rStyle w:val="5yl5"/>
          <w:lang w:val="nl-NL"/>
        </w:rPr>
        <w:t>stuur u dit bericht</w:t>
      </w:r>
      <w:r w:rsidRPr="000A104A">
        <w:rPr>
          <w:rStyle w:val="5yl5"/>
          <w:lang w:val="nl-NL"/>
        </w:rPr>
        <w:t xml:space="preserve">, want ik </w:t>
      </w:r>
      <w:r>
        <w:rPr>
          <w:rStyle w:val="5yl5"/>
          <w:lang w:val="nl-NL"/>
        </w:rPr>
        <w:t>heb</w:t>
      </w:r>
      <w:r w:rsidRPr="000A104A">
        <w:rPr>
          <w:rStyle w:val="5yl5"/>
          <w:lang w:val="nl-NL"/>
        </w:rPr>
        <w:t xml:space="preserve"> op uw website </w:t>
      </w:r>
      <w:r>
        <w:rPr>
          <w:rStyle w:val="5yl5"/>
          <w:lang w:val="nl-NL"/>
        </w:rPr>
        <w:t>gelezen over de plannen om het</w:t>
      </w:r>
      <w:r w:rsidRPr="000A104A">
        <w:rPr>
          <w:rStyle w:val="5yl5"/>
          <w:lang w:val="nl-NL"/>
        </w:rPr>
        <w:t xml:space="preserve"> feest</w:t>
      </w:r>
      <w:r>
        <w:rPr>
          <w:rStyle w:val="5yl5"/>
          <w:lang w:val="nl-NL"/>
        </w:rPr>
        <w:t xml:space="preserve"> van Sinterklaas af te schaffen. Deze informatie deed me een paar dagen </w:t>
      </w:r>
      <w:r w:rsidRPr="000A104A">
        <w:rPr>
          <w:rStyle w:val="5yl5"/>
          <w:lang w:val="nl-NL"/>
        </w:rPr>
        <w:t xml:space="preserve">moeite met </w:t>
      </w:r>
      <w:r>
        <w:rPr>
          <w:rStyle w:val="5yl5"/>
          <w:lang w:val="nl-NL"/>
        </w:rPr>
        <w:t xml:space="preserve">het </w:t>
      </w:r>
      <w:r w:rsidRPr="000A104A">
        <w:rPr>
          <w:rStyle w:val="5yl5"/>
          <w:lang w:val="nl-NL"/>
        </w:rPr>
        <w:t>slapen en een concentratieverlies</w:t>
      </w:r>
      <w:r>
        <w:rPr>
          <w:rStyle w:val="5yl5"/>
          <w:lang w:val="nl-NL"/>
        </w:rPr>
        <w:t>. Samen met het buurtcomit</w:t>
      </w:r>
      <w:r w:rsidRPr="00D12B44">
        <w:rPr>
          <w:rStyle w:val="5yl5"/>
          <w:lang w:val="nl-NL"/>
        </w:rPr>
        <w:t>é</w:t>
      </w:r>
      <w:r w:rsidRPr="000A104A">
        <w:rPr>
          <w:rStyle w:val="5yl5"/>
          <w:lang w:val="nl-NL"/>
        </w:rPr>
        <w:t xml:space="preserve"> besliste</w:t>
      </w:r>
      <w:r>
        <w:rPr>
          <w:rStyle w:val="5yl5"/>
          <w:lang w:val="nl-NL"/>
        </w:rPr>
        <w:t>n wij</w:t>
      </w:r>
      <w:r w:rsidRPr="000A104A">
        <w:rPr>
          <w:rStyle w:val="5yl5"/>
          <w:lang w:val="nl-NL"/>
        </w:rPr>
        <w:t xml:space="preserve"> om alles te</w:t>
      </w:r>
      <w:r>
        <w:rPr>
          <w:rStyle w:val="5yl5"/>
          <w:lang w:val="nl-NL"/>
        </w:rPr>
        <w:t xml:space="preserve"> doen wat in onze macht ligt, om dit feest niet te laten opheffen</w:t>
      </w:r>
      <w:r w:rsidRPr="000A104A">
        <w:rPr>
          <w:rStyle w:val="5yl5"/>
          <w:lang w:val="nl-NL"/>
        </w:rPr>
        <w:t>. Wij zijn van me</w:t>
      </w:r>
      <w:r>
        <w:rPr>
          <w:rStyle w:val="5yl5"/>
          <w:lang w:val="nl-NL"/>
        </w:rPr>
        <w:t>ning dat de afschaffing van dit feestje een</w:t>
      </w:r>
      <w:r w:rsidRPr="000A104A">
        <w:rPr>
          <w:rStyle w:val="5yl5"/>
          <w:lang w:val="nl-NL"/>
        </w:rPr>
        <w:t xml:space="preserve"> wantoestand is. Dit feest is een van de meest populaire en geliefde feesten in Nederlan</w:t>
      </w:r>
      <w:r>
        <w:rPr>
          <w:rStyle w:val="5yl5"/>
          <w:lang w:val="nl-NL"/>
        </w:rPr>
        <w:t xml:space="preserve">d. Iedereen heeft veel plezier </w:t>
      </w:r>
      <w:r w:rsidRPr="000A104A">
        <w:rPr>
          <w:rStyle w:val="5yl5"/>
          <w:lang w:val="nl-NL"/>
        </w:rPr>
        <w:t xml:space="preserve">en heeft geweldige tijd </w:t>
      </w:r>
      <w:r>
        <w:rPr>
          <w:rStyle w:val="5yl5"/>
          <w:lang w:val="nl-NL"/>
        </w:rPr>
        <w:t>tijdens het vieren van deze speciale dag</w:t>
      </w:r>
      <w:r w:rsidRPr="000A104A">
        <w:rPr>
          <w:rStyle w:val="5yl5"/>
          <w:lang w:val="nl-NL"/>
        </w:rPr>
        <w:t>. Mensen die</w:t>
      </w:r>
      <w:r>
        <w:rPr>
          <w:rStyle w:val="5yl5"/>
          <w:lang w:val="nl-NL"/>
        </w:rPr>
        <w:t xml:space="preserve"> elke dag hard werken hebben op deze dag</w:t>
      </w:r>
      <w:r w:rsidRPr="000A104A">
        <w:rPr>
          <w:rStyle w:val="5yl5"/>
          <w:lang w:val="nl-NL"/>
        </w:rPr>
        <w:t xml:space="preserve"> tijd om </w:t>
      </w:r>
      <w:r>
        <w:rPr>
          <w:rStyle w:val="5yl5"/>
          <w:lang w:val="nl-NL"/>
        </w:rPr>
        <w:t xml:space="preserve">samen </w:t>
      </w:r>
      <w:r w:rsidRPr="000A104A">
        <w:rPr>
          <w:rStyle w:val="5yl5"/>
          <w:lang w:val="nl-NL"/>
        </w:rPr>
        <w:t xml:space="preserve">met familie en vrienden </w:t>
      </w:r>
      <w:r>
        <w:rPr>
          <w:rStyle w:val="5yl5"/>
          <w:lang w:val="nl-NL"/>
        </w:rPr>
        <w:t>de traditie te cultiveren</w:t>
      </w:r>
      <w:r w:rsidRPr="000A104A">
        <w:rPr>
          <w:rStyle w:val="5yl5"/>
          <w:lang w:val="nl-NL"/>
        </w:rPr>
        <w:t>. K</w:t>
      </w:r>
      <w:r>
        <w:rPr>
          <w:rStyle w:val="5yl5"/>
          <w:lang w:val="nl-NL"/>
        </w:rPr>
        <w:t>inderen zijn blij en leren hoe je</w:t>
      </w:r>
      <w:r w:rsidRPr="000A104A">
        <w:rPr>
          <w:rStyle w:val="5yl5"/>
          <w:lang w:val="nl-NL"/>
        </w:rPr>
        <w:t xml:space="preserve"> de mooie </w:t>
      </w:r>
      <w:r>
        <w:rPr>
          <w:rStyle w:val="5yl5"/>
          <w:lang w:val="nl-NL"/>
        </w:rPr>
        <w:t xml:space="preserve">traditie voortzet. </w:t>
      </w:r>
      <w:r w:rsidRPr="000A104A">
        <w:rPr>
          <w:rStyle w:val="5yl5"/>
          <w:lang w:val="nl-NL"/>
        </w:rPr>
        <w:t xml:space="preserve">Het handelen </w:t>
      </w:r>
      <w:r>
        <w:rPr>
          <w:rStyle w:val="5yl5"/>
          <w:lang w:val="nl-NL"/>
        </w:rPr>
        <w:t>op die</w:t>
      </w:r>
      <w:r w:rsidRPr="000A104A">
        <w:rPr>
          <w:rStyle w:val="5yl5"/>
          <w:lang w:val="nl-NL"/>
        </w:rPr>
        <w:t xml:space="preserve"> dag ontwikkelt de economie, de </w:t>
      </w:r>
      <w:r>
        <w:rPr>
          <w:rStyle w:val="5yl5"/>
          <w:lang w:val="nl-NL"/>
        </w:rPr>
        <w:t>gemeenten en de kooplieden worden</w:t>
      </w:r>
      <w:r w:rsidRPr="000A104A">
        <w:rPr>
          <w:rStyle w:val="5yl5"/>
          <w:lang w:val="nl-NL"/>
        </w:rPr>
        <w:t xml:space="preserve"> rijker en gelukkiger. De afschaffing van deze </w:t>
      </w:r>
      <w:r>
        <w:rPr>
          <w:rStyle w:val="5yl5"/>
          <w:lang w:val="nl-NL"/>
        </w:rPr>
        <w:t>feestdag</w:t>
      </w:r>
      <w:r w:rsidRPr="000A104A">
        <w:rPr>
          <w:rStyle w:val="5yl5"/>
          <w:lang w:val="nl-NL"/>
        </w:rPr>
        <w:t xml:space="preserve"> kan tot lokale protes</w:t>
      </w:r>
      <w:r>
        <w:rPr>
          <w:rStyle w:val="5yl5"/>
          <w:lang w:val="nl-NL"/>
        </w:rPr>
        <w:t>ten leiden en slechte stemming</w:t>
      </w:r>
      <w:r w:rsidRPr="000A104A">
        <w:rPr>
          <w:rStyle w:val="5yl5"/>
          <w:lang w:val="nl-NL"/>
        </w:rPr>
        <w:t xml:space="preserve"> van burgers </w:t>
      </w:r>
      <w:r>
        <w:rPr>
          <w:rStyle w:val="5yl5"/>
          <w:lang w:val="nl-NL"/>
        </w:rPr>
        <w:t>ver</w:t>
      </w:r>
      <w:r w:rsidRPr="000A104A">
        <w:rPr>
          <w:rStyle w:val="5yl5"/>
          <w:lang w:val="nl-NL"/>
        </w:rPr>
        <w:t>oorzaken. We weten niet wat de directe aanleiding voor het afschaffen van d</w:t>
      </w:r>
      <w:r>
        <w:rPr>
          <w:rStyle w:val="5yl5"/>
          <w:lang w:val="nl-NL"/>
        </w:rPr>
        <w:t>it</w:t>
      </w:r>
      <w:r w:rsidRPr="000A104A">
        <w:rPr>
          <w:rStyle w:val="5yl5"/>
          <w:lang w:val="nl-NL"/>
        </w:rPr>
        <w:t xml:space="preserve"> feestje is, maar we hopen dat onze voorstellen </w:t>
      </w:r>
      <w:r>
        <w:rPr>
          <w:rStyle w:val="5yl5"/>
          <w:lang w:val="nl-NL"/>
        </w:rPr>
        <w:t xml:space="preserve">uw mening </w:t>
      </w:r>
      <w:r w:rsidRPr="000A104A">
        <w:rPr>
          <w:rStyle w:val="5yl5"/>
          <w:lang w:val="nl-NL"/>
        </w:rPr>
        <w:t>z</w:t>
      </w:r>
      <w:r>
        <w:rPr>
          <w:rStyle w:val="5yl5"/>
          <w:lang w:val="nl-NL"/>
        </w:rPr>
        <w:t>ullen</w:t>
      </w:r>
      <w:r w:rsidRPr="000A104A">
        <w:rPr>
          <w:rStyle w:val="5yl5"/>
          <w:lang w:val="nl-NL"/>
        </w:rPr>
        <w:t xml:space="preserve"> veranderen. - </w:t>
      </w:r>
      <w:r>
        <w:rPr>
          <w:rStyle w:val="5yl5"/>
          <w:lang w:val="nl-NL"/>
        </w:rPr>
        <w:t>Mocht</w:t>
      </w:r>
      <w:r w:rsidRPr="000A104A">
        <w:rPr>
          <w:rStyle w:val="5yl5"/>
          <w:lang w:val="nl-NL"/>
        </w:rPr>
        <w:t xml:space="preserve"> het lawaai </w:t>
      </w:r>
      <w:r>
        <w:rPr>
          <w:rStyle w:val="5yl5"/>
          <w:lang w:val="nl-NL"/>
        </w:rPr>
        <w:t xml:space="preserve">een probleem zijn dan kunnen we de viering om 20.00 uur aflopen. - We weten dat </w:t>
      </w:r>
      <w:r w:rsidRPr="000A104A">
        <w:rPr>
          <w:rStyle w:val="5yl5"/>
          <w:lang w:val="nl-NL"/>
        </w:rPr>
        <w:t>altijd aan het eind v</w:t>
      </w:r>
      <w:r>
        <w:rPr>
          <w:rStyle w:val="5yl5"/>
          <w:lang w:val="nl-NL"/>
        </w:rPr>
        <w:t>an de dag veel afval op de straten blijft. Ons buurtcomit</w:t>
      </w:r>
      <w:r w:rsidRPr="002F7E03">
        <w:rPr>
          <w:rStyle w:val="5yl5"/>
          <w:lang w:val="nl-NL"/>
        </w:rPr>
        <w:t>é</w:t>
      </w:r>
      <w:r w:rsidRPr="000A104A">
        <w:rPr>
          <w:rStyle w:val="5yl5"/>
          <w:lang w:val="nl-NL"/>
        </w:rPr>
        <w:t xml:space="preserve"> kwam met de andere</w:t>
      </w:r>
      <w:r>
        <w:rPr>
          <w:rStyle w:val="5yl5"/>
          <w:lang w:val="nl-NL"/>
        </w:rPr>
        <w:t xml:space="preserve"> </w:t>
      </w:r>
      <w:proofErr w:type="spellStart"/>
      <w:r>
        <w:rPr>
          <w:rStyle w:val="5yl5"/>
          <w:lang w:val="nl-NL"/>
        </w:rPr>
        <w:t>wijksorganisaties</w:t>
      </w:r>
      <w:proofErr w:type="spellEnd"/>
      <w:r>
        <w:rPr>
          <w:rStyle w:val="5yl5"/>
          <w:lang w:val="nl-NL"/>
        </w:rPr>
        <w:t xml:space="preserve"> overeen en wij</w:t>
      </w:r>
      <w:r w:rsidRPr="000A104A">
        <w:rPr>
          <w:rStyle w:val="5yl5"/>
          <w:lang w:val="nl-NL"/>
        </w:rPr>
        <w:t xml:space="preserve"> hebben afgesproken dat we </w:t>
      </w:r>
      <w:r>
        <w:rPr>
          <w:rStyle w:val="5yl5"/>
          <w:lang w:val="nl-NL"/>
        </w:rPr>
        <w:t xml:space="preserve">zelf </w:t>
      </w:r>
      <w:r w:rsidRPr="000A104A">
        <w:rPr>
          <w:rStyle w:val="5yl5"/>
          <w:lang w:val="nl-NL"/>
        </w:rPr>
        <w:t>bij het schoonmaken va</w:t>
      </w:r>
      <w:r>
        <w:rPr>
          <w:rStyle w:val="5yl5"/>
          <w:lang w:val="nl-NL"/>
        </w:rPr>
        <w:t>n de straten na het einde van het</w:t>
      </w:r>
      <w:r w:rsidRPr="000A104A">
        <w:rPr>
          <w:rStyle w:val="5yl5"/>
          <w:lang w:val="nl-NL"/>
        </w:rPr>
        <w:t xml:space="preserve"> feestje zullen helpen. Alles doen we natuurlijk</w:t>
      </w:r>
      <w:r>
        <w:rPr>
          <w:rStyle w:val="5yl5"/>
          <w:lang w:val="nl-NL"/>
        </w:rPr>
        <w:t xml:space="preserve"> "pro </w:t>
      </w:r>
      <w:proofErr w:type="spellStart"/>
      <w:r>
        <w:rPr>
          <w:rStyle w:val="5yl5"/>
          <w:lang w:val="nl-NL"/>
        </w:rPr>
        <w:t>publico</w:t>
      </w:r>
      <w:proofErr w:type="spellEnd"/>
      <w:r>
        <w:rPr>
          <w:rStyle w:val="5yl5"/>
          <w:lang w:val="nl-NL"/>
        </w:rPr>
        <w:t xml:space="preserve"> </w:t>
      </w:r>
      <w:proofErr w:type="spellStart"/>
      <w:r>
        <w:rPr>
          <w:rStyle w:val="5yl5"/>
          <w:lang w:val="nl-NL"/>
        </w:rPr>
        <w:t>bono</w:t>
      </w:r>
      <w:proofErr w:type="spellEnd"/>
      <w:r>
        <w:rPr>
          <w:rStyle w:val="5yl5"/>
          <w:lang w:val="nl-NL"/>
        </w:rPr>
        <w:t>." We doen het</w:t>
      </w:r>
      <w:r w:rsidRPr="000A104A">
        <w:rPr>
          <w:rStyle w:val="5yl5"/>
          <w:lang w:val="nl-NL"/>
        </w:rPr>
        <w:t xml:space="preserve"> niet voor het geld. Wij zijn z</w:t>
      </w:r>
      <w:r>
        <w:rPr>
          <w:rStyle w:val="5yl5"/>
          <w:lang w:val="nl-NL"/>
        </w:rPr>
        <w:t>eer betrokken bij deze situatie</w:t>
      </w:r>
      <w:r w:rsidRPr="000A104A">
        <w:rPr>
          <w:rStyle w:val="5yl5"/>
          <w:lang w:val="nl-NL"/>
        </w:rPr>
        <w:t>! Gisteren, samen met vele vrijwilligers, verzamelden we de handt</w:t>
      </w:r>
      <w:r>
        <w:rPr>
          <w:rStyle w:val="5yl5"/>
          <w:lang w:val="nl-NL"/>
        </w:rPr>
        <w:t>ekeningen onder de petitie omtrent de ondersteuning</w:t>
      </w:r>
      <w:r w:rsidRPr="000A104A">
        <w:rPr>
          <w:rStyle w:val="5yl5"/>
          <w:lang w:val="nl-NL"/>
        </w:rPr>
        <w:t xml:space="preserve"> van dit feest. We hoopten 5000 handtekeningen op, wat bewijst dat </w:t>
      </w:r>
      <w:r>
        <w:rPr>
          <w:rStyle w:val="5yl5"/>
          <w:lang w:val="nl-NL"/>
        </w:rPr>
        <w:t xml:space="preserve">dat </w:t>
      </w:r>
      <w:r w:rsidRPr="000A104A">
        <w:rPr>
          <w:rStyle w:val="5yl5"/>
          <w:lang w:val="nl-NL"/>
        </w:rPr>
        <w:t>feest erg belangrijk is</w:t>
      </w:r>
      <w:r>
        <w:rPr>
          <w:rStyle w:val="5yl5"/>
          <w:lang w:val="nl-NL"/>
        </w:rPr>
        <w:t xml:space="preserve"> voor mensen</w:t>
      </w:r>
      <w:r w:rsidRPr="000A104A">
        <w:rPr>
          <w:rStyle w:val="5yl5"/>
          <w:lang w:val="nl-NL"/>
        </w:rPr>
        <w:t>. Onder de petitie ondertekend</w:t>
      </w:r>
      <w:r>
        <w:rPr>
          <w:rStyle w:val="5yl5"/>
          <w:lang w:val="nl-NL"/>
        </w:rPr>
        <w:t>en zich</w:t>
      </w:r>
      <w:r w:rsidRPr="000A104A">
        <w:rPr>
          <w:rStyle w:val="5yl5"/>
          <w:lang w:val="nl-NL"/>
        </w:rPr>
        <w:t xml:space="preserve"> ook vele bekende en respectabele mensen uit de wereld van film, muziek en politiek. We vragen om dit feest </w:t>
      </w:r>
      <w:r>
        <w:rPr>
          <w:rStyle w:val="5yl5"/>
          <w:lang w:val="nl-NL"/>
        </w:rPr>
        <w:t xml:space="preserve">niet af te </w:t>
      </w:r>
      <w:r w:rsidRPr="000A104A">
        <w:rPr>
          <w:rStyle w:val="5yl5"/>
          <w:lang w:val="nl-NL"/>
        </w:rPr>
        <w:t xml:space="preserve">schaffen. Ik </w:t>
      </w:r>
      <w:r>
        <w:rPr>
          <w:rStyle w:val="5yl5"/>
          <w:lang w:val="nl-NL"/>
        </w:rPr>
        <w:t>stuur ook de lijst met handtekeningen als bijlage mee</w:t>
      </w:r>
      <w:r w:rsidRPr="000A104A">
        <w:rPr>
          <w:rStyle w:val="5yl5"/>
          <w:lang w:val="nl-NL"/>
        </w:rPr>
        <w:t xml:space="preserve">. </w:t>
      </w:r>
      <w:r w:rsidRPr="002F7E03">
        <w:rPr>
          <w:rStyle w:val="5yl5"/>
          <w:lang w:val="nl-NL"/>
        </w:rPr>
        <w:t xml:space="preserve">Met vriendelijke groet, </w:t>
      </w:r>
    </w:p>
    <w:p w:rsidR="004C3954" w:rsidRPr="004B6BDE" w:rsidRDefault="006F7BAB">
      <w:pPr>
        <w:rPr>
          <w:b/>
          <w:lang w:val="nl-NL"/>
        </w:rPr>
      </w:pPr>
      <w:r>
        <w:rPr>
          <w:b/>
          <w:lang w:val="nl-NL"/>
        </w:rPr>
        <w:br w:type="page"/>
      </w:r>
      <w:r w:rsidR="00AA68A3" w:rsidRPr="004B6BDE">
        <w:rPr>
          <w:b/>
          <w:lang w:val="nl-NL"/>
        </w:rPr>
        <w:lastRenderedPageBreak/>
        <w:t>Stappenplan voor het organiseren van peer feedback</w:t>
      </w:r>
    </w:p>
    <w:p w:rsidR="00AA68A3" w:rsidRDefault="00AA68A3">
      <w:pPr>
        <w:rPr>
          <w:lang w:val="nl-NL"/>
        </w:rPr>
      </w:pPr>
    </w:p>
    <w:p w:rsidR="00C30F05" w:rsidRDefault="00C30F05">
      <w:pPr>
        <w:rPr>
          <w:lang w:val="nl-NL"/>
        </w:rPr>
      </w:pPr>
      <w:r>
        <w:rPr>
          <w:lang w:val="nl-NL"/>
        </w:rPr>
        <w:t>Schrijf voor jezelf op</w:t>
      </w:r>
      <w:r w:rsidR="004A3CF8">
        <w:rPr>
          <w:lang w:val="nl-NL"/>
        </w:rPr>
        <w:t xml:space="preserve"> (5 minuten)</w:t>
      </w:r>
      <w:r>
        <w:rPr>
          <w:lang w:val="nl-NL"/>
        </w:rPr>
        <w:t xml:space="preserve">: </w:t>
      </w:r>
    </w:p>
    <w:p w:rsidR="00C30F05" w:rsidRDefault="00C30F05">
      <w:pPr>
        <w:rPr>
          <w:lang w:val="nl-NL"/>
        </w:rPr>
      </w:pPr>
    </w:p>
    <w:p w:rsidR="00AA68A3" w:rsidRDefault="00AA68A3">
      <w:pPr>
        <w:rPr>
          <w:lang w:val="nl-NL"/>
        </w:rPr>
      </w:pPr>
      <w:r w:rsidRPr="00AA68A3">
        <w:rPr>
          <w:b/>
          <w:lang w:val="nl-NL"/>
        </w:rPr>
        <w:t>Geloof je</w:t>
      </w:r>
      <w:r>
        <w:rPr>
          <w:lang w:val="nl-NL"/>
        </w:rPr>
        <w:t xml:space="preserve"> dat peer feedback in jouw situatie een positieve bijdrage kan leveren aan de taalbeheersing van je cursisten?</w:t>
      </w:r>
      <w:r w:rsidR="00C7007F">
        <w:rPr>
          <w:lang w:val="nl-NL"/>
        </w:rPr>
        <w:t xml:space="preserve"> </w:t>
      </w:r>
      <w:r w:rsidR="00C30F05">
        <w:rPr>
          <w:lang w:val="nl-NL"/>
        </w:rPr>
        <w:t xml:space="preserve">Waarom? </w:t>
      </w:r>
      <w:r w:rsidR="00C7007F">
        <w:rPr>
          <w:lang w:val="nl-NL"/>
        </w:rPr>
        <w:t>Delen je collega’s die visie</w:t>
      </w:r>
      <w:r w:rsidR="00295341">
        <w:rPr>
          <w:lang w:val="nl-NL"/>
        </w:rPr>
        <w:t>, denk je</w:t>
      </w:r>
      <w:r w:rsidR="00C7007F">
        <w:rPr>
          <w:lang w:val="nl-NL"/>
        </w:rPr>
        <w:t>?</w:t>
      </w:r>
    </w:p>
    <w:p w:rsidR="00295341" w:rsidRDefault="00295341">
      <w:pPr>
        <w:rPr>
          <w:lang w:val="nl-NL"/>
        </w:rPr>
      </w:pPr>
      <w:r>
        <w:rPr>
          <w:noProof/>
          <w:lang w:val="nl-NL" w:eastAsia="nl-NL"/>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67945</wp:posOffset>
                </wp:positionV>
                <wp:extent cx="5791200" cy="18478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791200" cy="1847850"/>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295341" w:rsidRDefault="00295341" w:rsidP="00295341">
                            <w:pPr>
                              <w:jc w:val="center"/>
                              <w:rPr>
                                <w:lang w:val="en-GB"/>
                              </w:rPr>
                            </w:pPr>
                          </w:p>
                          <w:p w:rsidR="00295341" w:rsidRPr="00295341" w:rsidRDefault="00295341" w:rsidP="00295341">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6.75pt;margin-top:5.35pt;width:456pt;height:14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" fillcolor="white [3212]" strokecolor="#243f60 [1604]">
                <v:textbox>
                  <w:txbxContent>
                    <w:p w:rsidR="00295341" w:rsidRDefault="00295341" w:rsidP="00295341">
                      <w:pPr>
                        <w:jc w:val="center"/>
                        <w:rPr>
                          <w:lang w:val="en-GB"/>
                        </w:rPr>
                      </w:pPr>
                    </w:p>
                    <w:p w:rsidR="00295341" w:rsidRPr="00295341" w:rsidRDefault="00295341" w:rsidP="00295341">
                      <w:pPr>
                        <w:jc w:val="center"/>
                        <w:rPr>
                          <w:lang w:val="en-GB"/>
                        </w:rPr>
                      </w:pPr>
                    </w:p>
                  </w:txbxContent>
                </v:textbox>
              </v:rect>
            </w:pict>
          </mc:Fallback>
        </mc:AlternateContent>
      </w:r>
    </w:p>
    <w:p w:rsidR="00295341" w:rsidRDefault="00295341">
      <w:pPr>
        <w:rPr>
          <w:lang w:val="nl-NL"/>
        </w:rPr>
      </w:pPr>
    </w:p>
    <w:p w:rsidR="00295341" w:rsidRDefault="00295341">
      <w:pPr>
        <w:rPr>
          <w:lang w:val="nl-NL"/>
        </w:rPr>
      </w:pPr>
    </w:p>
    <w:p w:rsidR="004B6BDE" w:rsidRDefault="004B6BDE">
      <w:pPr>
        <w:rPr>
          <w:lang w:val="nl-NL"/>
        </w:rPr>
      </w:pPr>
    </w:p>
    <w:p w:rsidR="00295341" w:rsidRDefault="00295341">
      <w:pPr>
        <w:rPr>
          <w:lang w:val="nl-NL"/>
        </w:rPr>
      </w:pPr>
    </w:p>
    <w:p w:rsidR="00295341" w:rsidRDefault="00295341">
      <w:pPr>
        <w:rPr>
          <w:lang w:val="nl-NL"/>
        </w:rPr>
      </w:pPr>
    </w:p>
    <w:p w:rsidR="00295341" w:rsidRDefault="00295341">
      <w:pPr>
        <w:rPr>
          <w:lang w:val="nl-NL"/>
        </w:rPr>
      </w:pPr>
    </w:p>
    <w:p w:rsidR="00295341" w:rsidRDefault="00295341">
      <w:pPr>
        <w:rPr>
          <w:lang w:val="nl-NL"/>
        </w:rPr>
      </w:pPr>
    </w:p>
    <w:p w:rsidR="00295341" w:rsidRDefault="00295341">
      <w:pPr>
        <w:rPr>
          <w:lang w:val="nl-NL"/>
        </w:rPr>
      </w:pPr>
    </w:p>
    <w:p w:rsidR="00295341" w:rsidRDefault="00295341">
      <w:pPr>
        <w:rPr>
          <w:lang w:val="nl-NL"/>
        </w:rPr>
      </w:pPr>
    </w:p>
    <w:p w:rsidR="00295341" w:rsidRDefault="00295341">
      <w:pPr>
        <w:rPr>
          <w:lang w:val="nl-NL"/>
        </w:rPr>
      </w:pPr>
    </w:p>
    <w:p w:rsidR="00295341" w:rsidRDefault="00295341">
      <w:pPr>
        <w:rPr>
          <w:lang w:val="nl-NL"/>
        </w:rPr>
      </w:pPr>
    </w:p>
    <w:p w:rsidR="00C30F05" w:rsidRDefault="00AA68A3">
      <w:pPr>
        <w:rPr>
          <w:lang w:val="nl-NL"/>
        </w:rPr>
      </w:pPr>
      <w:r>
        <w:rPr>
          <w:lang w:val="nl-NL"/>
        </w:rPr>
        <w:t xml:space="preserve">Welk </w:t>
      </w:r>
      <w:r w:rsidRPr="00EF1225">
        <w:rPr>
          <w:b/>
          <w:lang w:val="nl-NL"/>
        </w:rPr>
        <w:t>doel</w:t>
      </w:r>
      <w:r>
        <w:rPr>
          <w:lang w:val="nl-NL"/>
        </w:rPr>
        <w:t xml:space="preserve"> wil je bereiken met het organiseren van peer feedback</w:t>
      </w:r>
      <w:r w:rsidR="006F7BAB">
        <w:rPr>
          <w:lang w:val="nl-NL"/>
        </w:rPr>
        <w:t xml:space="preserve"> op geschreven teksten</w:t>
      </w:r>
      <w:r>
        <w:rPr>
          <w:lang w:val="nl-NL"/>
        </w:rPr>
        <w:t>, voor je cursisten en voor jezelf?</w:t>
      </w:r>
      <w:r w:rsidR="00C7007F">
        <w:rPr>
          <w:lang w:val="nl-NL"/>
        </w:rPr>
        <w:t xml:space="preserve"> Delen je collega’s dat doel?</w:t>
      </w:r>
      <w:r w:rsidR="004A3CF8">
        <w:rPr>
          <w:lang w:val="nl-NL"/>
        </w:rPr>
        <w:t xml:space="preserve"> Is peer feedback een goede manier om dat doel te bereiken?</w:t>
      </w:r>
    </w:p>
    <w:p w:rsidR="00C30F05" w:rsidRDefault="00C30F05">
      <w:pPr>
        <w:rPr>
          <w:lang w:val="nl-NL"/>
        </w:rPr>
      </w:pPr>
    </w:p>
    <w:p w:rsidR="00295341" w:rsidRDefault="00295341" w:rsidP="00295341">
      <w:pPr>
        <w:rPr>
          <w:lang w:val="nl-NL"/>
        </w:rPr>
      </w:pPr>
      <w:r>
        <w:rPr>
          <w:lang w:val="nl-NL"/>
        </w:rPr>
        <w:softHyphen/>
      </w:r>
      <w:r>
        <w:rPr>
          <w:lang w:val="nl-NL"/>
        </w:rPr>
        <w:softHyphen/>
      </w:r>
      <w:r>
        <w:rPr>
          <w:lang w:val="nl-NL"/>
        </w:rPr>
        <w:softHyphen/>
      </w:r>
      <w:r>
        <w:rPr>
          <w:lang w:val="nl-NL"/>
        </w:rPr>
        <w:softHyphen/>
      </w:r>
      <w:r>
        <w:rPr>
          <w:lang w:val="nl-NL"/>
        </w:rPr>
        <w:softHyphen/>
      </w:r>
      <w:r>
        <w:rPr>
          <w:lang w:val="nl-NL"/>
        </w:rPr>
        <w:softHyphen/>
      </w:r>
      <w:r>
        <w:rPr>
          <w:lang w:val="nl-NL"/>
        </w:rPr>
        <w:softHyphen/>
      </w:r>
      <w:r>
        <w:rPr>
          <w:lang w:val="nl-NL"/>
        </w:rPr>
        <w:softHyphen/>
      </w:r>
      <w:r>
        <w:rPr>
          <w:lang w:val="nl-NL"/>
        </w:rPr>
        <w:softHyphen/>
      </w:r>
      <w:r>
        <w:rPr>
          <w:lang w:val="nl-NL"/>
        </w:rPr>
        <w:softHyphen/>
      </w:r>
      <w:r>
        <w:rPr>
          <w:lang w:val="nl-NL"/>
        </w:rPr>
        <w:softHyphen/>
      </w:r>
      <w:r>
        <w:rPr>
          <w:lang w:val="nl-NL"/>
        </w:rPr>
        <w:softHyphen/>
      </w:r>
      <w:r>
        <w:rPr>
          <w:lang w:val="nl-NL"/>
        </w:rPr>
        <w:softHyphen/>
      </w:r>
      <w:r>
        <w:rPr>
          <w:lang w:val="nl-NL"/>
        </w:rPr>
        <w:softHyphen/>
      </w:r>
      <w:r>
        <w:rPr>
          <w:lang w:val="nl-NL"/>
        </w:rPr>
        <w:softHyphen/>
      </w:r>
    </w:p>
    <w:p w:rsidR="00295341" w:rsidRDefault="00295341" w:rsidP="00295341">
      <w:pPr>
        <w:rPr>
          <w:lang w:val="nl-NL"/>
        </w:rPr>
      </w:pPr>
      <w:r>
        <w:rPr>
          <w:noProof/>
          <w:lang w:val="nl-NL" w:eastAsia="nl-NL"/>
        </w:rPr>
        <mc:AlternateContent>
          <mc:Choice Requires="wps">
            <w:drawing>
              <wp:anchor distT="0" distB="0" distL="114300" distR="114300" simplePos="0" relativeHeight="251661312" behindDoc="0" locked="0" layoutInCell="1" allowOverlap="1" wp14:anchorId="67BA0674" wp14:editId="66967CDC">
                <wp:simplePos x="0" y="0"/>
                <wp:positionH relativeFrom="column">
                  <wp:posOffset>85725</wp:posOffset>
                </wp:positionH>
                <wp:positionV relativeFrom="paragraph">
                  <wp:posOffset>67945</wp:posOffset>
                </wp:positionV>
                <wp:extent cx="5791200" cy="18478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791200" cy="1847850"/>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6.75pt;margin-top:5.35pt;width:456pt;height:14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" fillcolor="white [3212]" strokecolor="#243f60 [1604]"/>
            </w:pict>
          </mc:Fallback>
        </mc:AlternateContent>
      </w:r>
    </w:p>
    <w:p w:rsidR="00295341" w:rsidRDefault="00295341" w:rsidP="00295341">
      <w:pPr>
        <w:rPr>
          <w:lang w:val="nl-NL"/>
        </w:rPr>
      </w:pPr>
    </w:p>
    <w:p w:rsidR="00295341" w:rsidRDefault="00295341" w:rsidP="00295341">
      <w:pPr>
        <w:rPr>
          <w:lang w:val="nl-NL"/>
        </w:rPr>
      </w:pPr>
    </w:p>
    <w:p w:rsidR="00295341" w:rsidRDefault="00295341" w:rsidP="00295341">
      <w:pPr>
        <w:rPr>
          <w:lang w:val="nl-NL"/>
        </w:rPr>
      </w:pPr>
    </w:p>
    <w:p w:rsidR="00295341" w:rsidRDefault="00295341" w:rsidP="00295341">
      <w:pPr>
        <w:rPr>
          <w:lang w:val="nl-NL"/>
        </w:rPr>
      </w:pPr>
    </w:p>
    <w:p w:rsidR="00295341" w:rsidRDefault="00295341" w:rsidP="00295341">
      <w:pPr>
        <w:rPr>
          <w:lang w:val="nl-NL"/>
        </w:rPr>
      </w:pPr>
    </w:p>
    <w:p w:rsidR="00295341" w:rsidRDefault="00295341" w:rsidP="00295341">
      <w:pPr>
        <w:rPr>
          <w:lang w:val="nl-NL"/>
        </w:rPr>
      </w:pPr>
    </w:p>
    <w:p w:rsidR="00295341" w:rsidRDefault="00295341">
      <w:pPr>
        <w:rPr>
          <w:lang w:val="nl-NL"/>
        </w:rPr>
      </w:pPr>
    </w:p>
    <w:p w:rsidR="00295341" w:rsidRDefault="00295341">
      <w:pPr>
        <w:rPr>
          <w:lang w:val="nl-NL"/>
        </w:rPr>
      </w:pPr>
      <w:r>
        <w:rPr>
          <w:lang w:val="nl-NL"/>
        </w:rPr>
        <w:br w:type="page"/>
      </w:r>
    </w:p>
    <w:p w:rsidR="00C30F05" w:rsidRDefault="00C30F05" w:rsidP="00C30F05">
      <w:pPr>
        <w:rPr>
          <w:lang w:val="nl-NL"/>
        </w:rPr>
      </w:pPr>
      <w:r>
        <w:rPr>
          <w:lang w:val="nl-NL"/>
        </w:rPr>
        <w:lastRenderedPageBreak/>
        <w:t xml:space="preserve">De tabellen op de volgende pagina’s geven een overzicht van voor- en nadelen bij enkele aspecten van peer feedback. </w:t>
      </w:r>
      <w:r>
        <w:rPr>
          <w:lang w:val="nl-NL"/>
        </w:rPr>
        <w:t>Hoe zou j</w:t>
      </w:r>
      <w:r>
        <w:rPr>
          <w:lang w:val="nl-NL"/>
        </w:rPr>
        <w:t xml:space="preserve">ij </w:t>
      </w:r>
      <w:r>
        <w:rPr>
          <w:lang w:val="nl-NL"/>
        </w:rPr>
        <w:t xml:space="preserve">de peer feedback </w:t>
      </w:r>
      <w:r>
        <w:rPr>
          <w:lang w:val="nl-NL"/>
        </w:rPr>
        <w:t xml:space="preserve">in jouw situatie het beste </w:t>
      </w:r>
      <w:r>
        <w:rPr>
          <w:lang w:val="nl-NL"/>
        </w:rPr>
        <w:t xml:space="preserve">concreet </w:t>
      </w:r>
      <w:r>
        <w:rPr>
          <w:lang w:val="nl-NL"/>
        </w:rPr>
        <w:t xml:space="preserve">kunnen </w:t>
      </w:r>
      <w:r>
        <w:rPr>
          <w:lang w:val="nl-NL"/>
        </w:rPr>
        <w:t>organiseren?</w:t>
      </w:r>
      <w:r>
        <w:rPr>
          <w:lang w:val="nl-NL"/>
        </w:rPr>
        <w:t xml:space="preserve"> </w:t>
      </w:r>
      <w:r w:rsidR="00295341">
        <w:rPr>
          <w:lang w:val="nl-NL"/>
        </w:rPr>
        <w:t>Schrijf je antwoorden</w:t>
      </w:r>
      <w:r w:rsidR="006F7BAB">
        <w:rPr>
          <w:lang w:val="nl-NL"/>
        </w:rPr>
        <w:t>/ideeën</w:t>
      </w:r>
      <w:r w:rsidR="00295341">
        <w:rPr>
          <w:lang w:val="nl-NL"/>
        </w:rPr>
        <w:t xml:space="preserve"> hieronder.</w:t>
      </w:r>
      <w:r w:rsidR="004A3CF8">
        <w:rPr>
          <w:lang w:val="nl-NL"/>
        </w:rPr>
        <w:t xml:space="preserve"> Wissel je ideeën/ gedachten uit met je buurman/vrouw.</w:t>
      </w:r>
      <w:bookmarkStart w:id="0" w:name="_GoBack"/>
      <w:bookmarkEnd w:id="0"/>
    </w:p>
    <w:p w:rsidR="00C30F05" w:rsidRDefault="00C30F05" w:rsidP="00C30F05">
      <w:pPr>
        <w:rPr>
          <w:lang w:val="nl-NL"/>
        </w:rPr>
      </w:pPr>
    </w:p>
    <w:p w:rsidR="0064411F" w:rsidRDefault="0064411F" w:rsidP="00C30F05">
      <w:pPr>
        <w:pStyle w:val="ListParagraph"/>
        <w:numPr>
          <w:ilvl w:val="0"/>
          <w:numId w:val="1"/>
        </w:numPr>
        <w:rPr>
          <w:lang w:val="nl-NL"/>
        </w:rPr>
      </w:pPr>
      <w:r>
        <w:rPr>
          <w:lang w:val="nl-NL"/>
        </w:rPr>
        <w:t>Waar is in jouw lesplan ruimte om studenten elkaar peer feedback te laten geven? Is de timing zodanig dat de studenten nog tijd hebben om de feedback te verwerken in een volgende versie van dezelfde tekst?</w:t>
      </w:r>
    </w:p>
    <w:p w:rsidR="006F7BAB" w:rsidRDefault="006F7BAB" w:rsidP="00C30F05">
      <w:pPr>
        <w:pStyle w:val="ListParagraph"/>
        <w:numPr>
          <w:ilvl w:val="0"/>
          <w:numId w:val="1"/>
        </w:numPr>
        <w:rPr>
          <w:lang w:val="nl-NL"/>
        </w:rPr>
      </w:pPr>
      <w:r>
        <w:rPr>
          <w:lang w:val="nl-NL"/>
        </w:rPr>
        <w:t>Is je groep zo samengesteld dat peer feedback mogelijk is (niveau cursisten, cursisten met dezelfde T1)?</w:t>
      </w:r>
    </w:p>
    <w:p w:rsidR="00C30F05" w:rsidRPr="00C7007F" w:rsidRDefault="00C30F05" w:rsidP="00C30F05">
      <w:pPr>
        <w:pStyle w:val="ListParagraph"/>
        <w:numPr>
          <w:ilvl w:val="0"/>
          <w:numId w:val="1"/>
        </w:numPr>
        <w:rPr>
          <w:lang w:val="nl-NL"/>
        </w:rPr>
      </w:pPr>
      <w:r>
        <w:rPr>
          <w:lang w:val="nl-NL"/>
        </w:rPr>
        <w:t>Als je een gestructureerde vorm van peer feedback wilt organiseren, hoe ziet die vorm er dan uit? Formulier/</w:t>
      </w:r>
      <w:proofErr w:type="spellStart"/>
      <w:r>
        <w:rPr>
          <w:lang w:val="nl-NL"/>
        </w:rPr>
        <w:t>rubric</w:t>
      </w:r>
      <w:proofErr w:type="spellEnd"/>
      <w:r>
        <w:rPr>
          <w:lang w:val="nl-NL"/>
        </w:rPr>
        <w:t>? Gemaakt/voorgeschreven door docent of gemaakt door cursisten zelf?</w:t>
      </w:r>
    </w:p>
    <w:p w:rsidR="00C30F05" w:rsidRDefault="00C30F05" w:rsidP="00C30F05">
      <w:pPr>
        <w:pStyle w:val="ListParagraph"/>
        <w:numPr>
          <w:ilvl w:val="0"/>
          <w:numId w:val="1"/>
        </w:numPr>
        <w:rPr>
          <w:lang w:val="nl-NL"/>
        </w:rPr>
      </w:pPr>
      <w:r>
        <w:rPr>
          <w:lang w:val="nl-NL"/>
        </w:rPr>
        <w:t xml:space="preserve">Hoe komen de cursisten aan elkaars teksten bij een blinde review? Uitwisseling via (elektronisch) postvak, via </w:t>
      </w:r>
      <w:proofErr w:type="spellStart"/>
      <w:r>
        <w:rPr>
          <w:lang w:val="nl-NL"/>
        </w:rPr>
        <w:t>Turnitin</w:t>
      </w:r>
      <w:proofErr w:type="spellEnd"/>
      <w:r>
        <w:rPr>
          <w:lang w:val="nl-NL"/>
        </w:rPr>
        <w:t>?</w:t>
      </w:r>
    </w:p>
    <w:p w:rsidR="00C30F05" w:rsidRDefault="00C30F05" w:rsidP="00C30F05">
      <w:pPr>
        <w:pStyle w:val="ListParagraph"/>
        <w:numPr>
          <w:ilvl w:val="0"/>
          <w:numId w:val="1"/>
        </w:numPr>
        <w:rPr>
          <w:lang w:val="nl-NL"/>
        </w:rPr>
      </w:pPr>
      <w:r>
        <w:rPr>
          <w:lang w:val="nl-NL"/>
        </w:rPr>
        <w:t xml:space="preserve">Hoe zorg je ervoor </w:t>
      </w:r>
      <w:r w:rsidR="00355D18">
        <w:rPr>
          <w:lang w:val="nl-NL"/>
        </w:rPr>
        <w:t xml:space="preserve">/controleer je </w:t>
      </w:r>
      <w:r>
        <w:rPr>
          <w:lang w:val="nl-NL"/>
        </w:rPr>
        <w:t>dat de teksten geanonimiseerd zijn (bij blind peer feedback geven)? Let op: auteursgegevens zijn vaak ‘onder water’ te zien als het om elektronische documenten gaat.</w:t>
      </w:r>
    </w:p>
    <w:p w:rsidR="00C30F05" w:rsidRDefault="00C30F05" w:rsidP="00C30F05">
      <w:pPr>
        <w:pStyle w:val="ListParagraph"/>
        <w:numPr>
          <w:ilvl w:val="0"/>
          <w:numId w:val="1"/>
        </w:numPr>
        <w:rPr>
          <w:lang w:val="nl-NL"/>
        </w:rPr>
      </w:pPr>
      <w:r>
        <w:rPr>
          <w:lang w:val="nl-NL"/>
        </w:rPr>
        <w:t xml:space="preserve">Geven de studenten de feedback op papier (dus geschreven) of met behulp van een tekstverwerker of feedbackprogramma, bijvoorbeeld </w:t>
      </w:r>
      <w:proofErr w:type="spellStart"/>
      <w:r>
        <w:rPr>
          <w:lang w:val="nl-NL"/>
        </w:rPr>
        <w:t>Turnitin</w:t>
      </w:r>
      <w:proofErr w:type="spellEnd"/>
      <w:r>
        <w:rPr>
          <w:lang w:val="nl-NL"/>
        </w:rPr>
        <w:t>? Denk aan handschriftproblemen/wel of niet beschikbaar zijn van technologie.</w:t>
      </w:r>
    </w:p>
    <w:p w:rsidR="00C30F05" w:rsidRDefault="00C30F05" w:rsidP="00C30F05">
      <w:pPr>
        <w:pStyle w:val="ListParagraph"/>
        <w:numPr>
          <w:ilvl w:val="0"/>
          <w:numId w:val="1"/>
        </w:numPr>
        <w:rPr>
          <w:lang w:val="nl-NL"/>
        </w:rPr>
      </w:pPr>
      <w:r w:rsidRPr="00C7007F">
        <w:rPr>
          <w:lang w:val="nl-NL"/>
        </w:rPr>
        <w:t>Hoe z</w:t>
      </w:r>
      <w:r w:rsidR="00E914C4">
        <w:rPr>
          <w:lang w:val="nl-NL"/>
        </w:rPr>
        <w:t>ou je jouw cursisten kunnen instruere</w:t>
      </w:r>
      <w:r w:rsidRPr="00C7007F">
        <w:rPr>
          <w:lang w:val="nl-NL"/>
        </w:rPr>
        <w:t>n hoe ze peer feedback moeten geven op elkaars teksten?</w:t>
      </w:r>
      <w:r>
        <w:rPr>
          <w:lang w:val="nl-NL"/>
        </w:rPr>
        <w:t xml:space="preserve"> Hoe kom je aan goede voorbeelden?</w:t>
      </w:r>
    </w:p>
    <w:p w:rsidR="00C30F05" w:rsidRDefault="00C30F05">
      <w:pPr>
        <w:rPr>
          <w:lang w:val="nl-NL"/>
        </w:rPr>
      </w:pPr>
      <w:r>
        <w:rPr>
          <w:lang w:val="nl-NL"/>
        </w:rPr>
        <w:br w:type="page"/>
      </w:r>
    </w:p>
    <w:p w:rsidR="00C7007F" w:rsidRDefault="00C7007F">
      <w:pPr>
        <w:rPr>
          <w:lang w:val="nl-NL"/>
        </w:rPr>
      </w:pPr>
    </w:p>
    <w:tbl>
      <w:tblPr>
        <w:tblStyle w:val="TableGrid"/>
        <w:tblW w:w="0" w:type="auto"/>
        <w:tblLook w:val="04A0" w:firstRow="1" w:lastRow="0" w:firstColumn="1" w:lastColumn="0" w:noHBand="0" w:noVBand="1"/>
      </w:tblPr>
      <w:tblGrid>
        <w:gridCol w:w="1951"/>
        <w:gridCol w:w="3544"/>
        <w:gridCol w:w="4081"/>
      </w:tblGrid>
      <w:tr w:rsidR="00C7007F" w:rsidTr="006F7BAB">
        <w:tc>
          <w:tcPr>
            <w:tcW w:w="1951" w:type="dxa"/>
          </w:tcPr>
          <w:p w:rsidR="00C7007F" w:rsidRDefault="00C7007F">
            <w:pPr>
              <w:rPr>
                <w:lang w:val="nl-NL"/>
              </w:rPr>
            </w:pPr>
          </w:p>
        </w:tc>
        <w:tc>
          <w:tcPr>
            <w:tcW w:w="3544" w:type="dxa"/>
          </w:tcPr>
          <w:p w:rsidR="00C7007F" w:rsidRPr="00C30F05" w:rsidRDefault="00C7007F">
            <w:pPr>
              <w:rPr>
                <w:b/>
                <w:lang w:val="nl-NL"/>
              </w:rPr>
            </w:pPr>
            <w:r w:rsidRPr="00C30F05">
              <w:rPr>
                <w:b/>
                <w:lang w:val="nl-NL"/>
              </w:rPr>
              <w:t>Gestructureerd</w:t>
            </w:r>
            <w:r w:rsidR="004B6BDE" w:rsidRPr="00C30F05">
              <w:rPr>
                <w:b/>
                <w:lang w:val="nl-NL"/>
              </w:rPr>
              <w:t xml:space="preserve">e </w:t>
            </w:r>
            <w:r w:rsidR="00C30F05" w:rsidRPr="00C30F05">
              <w:rPr>
                <w:b/>
                <w:lang w:val="nl-NL"/>
              </w:rPr>
              <w:t xml:space="preserve">peer </w:t>
            </w:r>
            <w:r w:rsidR="004B6BDE" w:rsidRPr="00C30F05">
              <w:rPr>
                <w:b/>
                <w:lang w:val="nl-NL"/>
              </w:rPr>
              <w:t>feedback</w:t>
            </w:r>
          </w:p>
        </w:tc>
        <w:tc>
          <w:tcPr>
            <w:tcW w:w="4081" w:type="dxa"/>
          </w:tcPr>
          <w:p w:rsidR="00C7007F" w:rsidRPr="00C30F05" w:rsidRDefault="00C7007F">
            <w:pPr>
              <w:rPr>
                <w:b/>
                <w:lang w:val="nl-NL"/>
              </w:rPr>
            </w:pPr>
            <w:r w:rsidRPr="00C30F05">
              <w:rPr>
                <w:b/>
                <w:lang w:val="nl-NL"/>
              </w:rPr>
              <w:t>Niet-gestructureerd</w:t>
            </w:r>
            <w:r w:rsidR="004B6BDE" w:rsidRPr="00C30F05">
              <w:rPr>
                <w:b/>
                <w:lang w:val="nl-NL"/>
              </w:rPr>
              <w:t xml:space="preserve">e </w:t>
            </w:r>
            <w:r w:rsidR="00C30F05" w:rsidRPr="00C30F05">
              <w:rPr>
                <w:b/>
                <w:lang w:val="nl-NL"/>
              </w:rPr>
              <w:t xml:space="preserve">peer </w:t>
            </w:r>
            <w:r w:rsidR="004B6BDE" w:rsidRPr="00C30F05">
              <w:rPr>
                <w:b/>
                <w:lang w:val="nl-NL"/>
              </w:rPr>
              <w:t>feedback</w:t>
            </w:r>
          </w:p>
        </w:tc>
      </w:tr>
      <w:tr w:rsidR="00C7007F" w:rsidRPr="004B6BDE" w:rsidTr="006F7BAB">
        <w:tc>
          <w:tcPr>
            <w:tcW w:w="1951" w:type="dxa"/>
          </w:tcPr>
          <w:p w:rsidR="00C7007F" w:rsidRPr="00C30F05" w:rsidRDefault="00C7007F">
            <w:pPr>
              <w:rPr>
                <w:b/>
                <w:lang w:val="nl-NL"/>
              </w:rPr>
            </w:pPr>
            <w:r w:rsidRPr="00C30F05">
              <w:rPr>
                <w:b/>
                <w:lang w:val="nl-NL"/>
              </w:rPr>
              <w:t>Voor- en nadelen</w:t>
            </w:r>
          </w:p>
        </w:tc>
        <w:tc>
          <w:tcPr>
            <w:tcW w:w="3544" w:type="dxa"/>
          </w:tcPr>
          <w:p w:rsidR="00C7007F" w:rsidRDefault="00EF1225">
            <w:pPr>
              <w:rPr>
                <w:lang w:val="nl-NL"/>
              </w:rPr>
            </w:pPr>
            <w:r>
              <w:rPr>
                <w:lang w:val="nl-NL"/>
              </w:rPr>
              <w:t>De beoordelingsc</w:t>
            </w:r>
            <w:r w:rsidR="00C7007F">
              <w:rPr>
                <w:lang w:val="nl-NL"/>
              </w:rPr>
              <w:t>riteria zijn duidelijk</w:t>
            </w:r>
          </w:p>
          <w:p w:rsidR="00C7007F" w:rsidRDefault="00C7007F">
            <w:pPr>
              <w:rPr>
                <w:lang w:val="nl-NL"/>
              </w:rPr>
            </w:pPr>
            <w:r>
              <w:rPr>
                <w:lang w:val="nl-NL"/>
              </w:rPr>
              <w:t>Werkt sturend voor hun eigen schrijfvaardigheid</w:t>
            </w:r>
          </w:p>
          <w:p w:rsidR="00EF1225" w:rsidRDefault="00EF1225">
            <w:pPr>
              <w:rPr>
                <w:lang w:val="nl-NL"/>
              </w:rPr>
            </w:pPr>
            <w:r>
              <w:rPr>
                <w:lang w:val="nl-NL"/>
              </w:rPr>
              <w:t>Faciliteert stapsgewijze opbouw van vaardigheden (beoordelingsformulier wordt steeds completer/complexer)</w:t>
            </w:r>
          </w:p>
          <w:p w:rsidR="00C7007F" w:rsidRDefault="00C7007F">
            <w:pPr>
              <w:rPr>
                <w:lang w:val="nl-NL"/>
              </w:rPr>
            </w:pPr>
            <w:r>
              <w:rPr>
                <w:lang w:val="nl-NL"/>
              </w:rPr>
              <w:t>Goed te gebruiken wanneer er weinig tijd is voor een cursus</w:t>
            </w:r>
          </w:p>
          <w:p w:rsidR="004B6BDE" w:rsidRDefault="004B6BDE">
            <w:pPr>
              <w:rPr>
                <w:lang w:val="nl-NL"/>
              </w:rPr>
            </w:pPr>
            <w:r>
              <w:rPr>
                <w:lang w:val="nl-NL"/>
              </w:rPr>
              <w:t>---</w:t>
            </w:r>
          </w:p>
          <w:p w:rsidR="004B6BDE" w:rsidRDefault="004B6BDE">
            <w:pPr>
              <w:rPr>
                <w:lang w:val="nl-NL"/>
              </w:rPr>
            </w:pPr>
            <w:r>
              <w:rPr>
                <w:lang w:val="nl-NL"/>
              </w:rPr>
              <w:t xml:space="preserve">Geeft cursisten weinig vrijheid </w:t>
            </w:r>
          </w:p>
        </w:tc>
        <w:tc>
          <w:tcPr>
            <w:tcW w:w="4081" w:type="dxa"/>
          </w:tcPr>
          <w:p w:rsidR="00C7007F" w:rsidRDefault="00C7007F">
            <w:pPr>
              <w:rPr>
                <w:lang w:val="nl-NL"/>
              </w:rPr>
            </w:pPr>
            <w:r>
              <w:rPr>
                <w:lang w:val="nl-NL"/>
              </w:rPr>
              <w:t>Geeft cursisten meer de vrijheid om te bepalen wat zij belangrijk vinden</w:t>
            </w:r>
            <w:r w:rsidR="00EF1225">
              <w:rPr>
                <w:lang w:val="nl-NL"/>
              </w:rPr>
              <w:t xml:space="preserve"> in de tekst die ze lezen</w:t>
            </w:r>
          </w:p>
          <w:p w:rsidR="00C7007F" w:rsidRDefault="00C7007F">
            <w:pPr>
              <w:rPr>
                <w:lang w:val="nl-NL"/>
              </w:rPr>
            </w:pPr>
            <w:r>
              <w:rPr>
                <w:lang w:val="nl-NL"/>
              </w:rPr>
              <w:t>Cursisten vinden zelf uit wat belangrijke criteria zijn voor een goede tekst</w:t>
            </w:r>
          </w:p>
          <w:p w:rsidR="00C7007F" w:rsidRDefault="00C7007F">
            <w:pPr>
              <w:rPr>
                <w:lang w:val="nl-NL"/>
              </w:rPr>
            </w:pPr>
            <w:r>
              <w:rPr>
                <w:lang w:val="nl-NL"/>
              </w:rPr>
              <w:t>Goed te gebruiken wanneer er veel tijd is voor een cursus</w:t>
            </w:r>
          </w:p>
          <w:p w:rsidR="004B6BDE" w:rsidRDefault="004B6BDE">
            <w:pPr>
              <w:rPr>
                <w:lang w:val="nl-NL"/>
              </w:rPr>
            </w:pPr>
            <w:r>
              <w:rPr>
                <w:lang w:val="nl-NL"/>
              </w:rPr>
              <w:t>---</w:t>
            </w:r>
          </w:p>
          <w:p w:rsidR="00EF1225" w:rsidRDefault="00EF1225">
            <w:pPr>
              <w:rPr>
                <w:lang w:val="nl-NL"/>
              </w:rPr>
            </w:pPr>
            <w:r>
              <w:rPr>
                <w:lang w:val="nl-NL"/>
              </w:rPr>
              <w:t>Kan leiden tot oppervlakkige feedback op lokale tekstproblemen</w:t>
            </w:r>
          </w:p>
        </w:tc>
      </w:tr>
      <w:tr w:rsidR="00EF1225" w:rsidRPr="004B6BDE" w:rsidTr="00972E14">
        <w:trPr>
          <w:trHeight w:val="826"/>
        </w:trPr>
        <w:tc>
          <w:tcPr>
            <w:tcW w:w="9576" w:type="dxa"/>
            <w:gridSpan w:val="3"/>
          </w:tcPr>
          <w:p w:rsidR="00EF1225" w:rsidRDefault="004B6BDE">
            <w:pPr>
              <w:rPr>
                <w:lang w:val="nl-NL"/>
              </w:rPr>
            </w:pPr>
            <w:r>
              <w:rPr>
                <w:lang w:val="nl-NL"/>
              </w:rPr>
              <w:t>Zie voorbeeld van evaluatieformulier</w:t>
            </w:r>
            <w:r w:rsidR="00EF1225">
              <w:rPr>
                <w:lang w:val="nl-NL"/>
              </w:rPr>
              <w:t xml:space="preserve"> TU Delft.</w:t>
            </w:r>
          </w:p>
        </w:tc>
      </w:tr>
      <w:tr w:rsidR="00C7007F" w:rsidTr="00972E14">
        <w:trPr>
          <w:trHeight w:val="826"/>
        </w:trPr>
        <w:tc>
          <w:tcPr>
            <w:tcW w:w="9576" w:type="dxa"/>
            <w:gridSpan w:val="3"/>
          </w:tcPr>
          <w:p w:rsidR="00C7007F" w:rsidRDefault="00C7007F" w:rsidP="00B34FF2">
            <w:pPr>
              <w:rPr>
                <w:lang w:val="nl-NL"/>
              </w:rPr>
            </w:pPr>
            <w:r>
              <w:rPr>
                <w:lang w:val="nl-NL"/>
              </w:rPr>
              <w:t xml:space="preserve">Welke werkwijze is in jouw situatie </w:t>
            </w:r>
            <w:r w:rsidR="00B34FF2">
              <w:rPr>
                <w:lang w:val="nl-NL"/>
              </w:rPr>
              <w:t>haalbaar</w:t>
            </w:r>
            <w:r>
              <w:rPr>
                <w:lang w:val="nl-NL"/>
              </w:rPr>
              <w:t>? Waarom?</w:t>
            </w:r>
          </w:p>
        </w:tc>
      </w:tr>
    </w:tbl>
    <w:p w:rsidR="00791DAE" w:rsidRDefault="00791DAE" w:rsidP="00791DAE">
      <w:pPr>
        <w:rPr>
          <w:lang w:val="nl-NL"/>
        </w:rPr>
      </w:pPr>
    </w:p>
    <w:tbl>
      <w:tblPr>
        <w:tblStyle w:val="TableGrid"/>
        <w:tblW w:w="0" w:type="auto"/>
        <w:tblLook w:val="04A0" w:firstRow="1" w:lastRow="0" w:firstColumn="1" w:lastColumn="0" w:noHBand="0" w:noVBand="1"/>
      </w:tblPr>
      <w:tblGrid>
        <w:gridCol w:w="1951"/>
        <w:gridCol w:w="3544"/>
        <w:gridCol w:w="4081"/>
      </w:tblGrid>
      <w:tr w:rsidR="00791DAE" w:rsidTr="006F7BAB">
        <w:tc>
          <w:tcPr>
            <w:tcW w:w="1951" w:type="dxa"/>
          </w:tcPr>
          <w:p w:rsidR="00791DAE" w:rsidRDefault="00791DAE" w:rsidP="00972E14">
            <w:pPr>
              <w:rPr>
                <w:lang w:val="nl-NL"/>
              </w:rPr>
            </w:pPr>
          </w:p>
        </w:tc>
        <w:tc>
          <w:tcPr>
            <w:tcW w:w="3544" w:type="dxa"/>
          </w:tcPr>
          <w:p w:rsidR="00791DAE" w:rsidRPr="00C30F05" w:rsidRDefault="00791DAE" w:rsidP="00972E14">
            <w:pPr>
              <w:rPr>
                <w:b/>
                <w:lang w:val="nl-NL"/>
              </w:rPr>
            </w:pPr>
            <w:r w:rsidRPr="00C30F05">
              <w:rPr>
                <w:b/>
                <w:lang w:val="nl-NL"/>
              </w:rPr>
              <w:t>Blind</w:t>
            </w:r>
            <w:r w:rsidR="00C30F05" w:rsidRPr="00C30F05">
              <w:rPr>
                <w:b/>
                <w:lang w:val="nl-NL"/>
              </w:rPr>
              <w:t>e peer feedback</w:t>
            </w:r>
          </w:p>
        </w:tc>
        <w:tc>
          <w:tcPr>
            <w:tcW w:w="4081" w:type="dxa"/>
          </w:tcPr>
          <w:p w:rsidR="00791DAE" w:rsidRPr="00C30F05" w:rsidRDefault="00791DAE" w:rsidP="00972E14">
            <w:pPr>
              <w:rPr>
                <w:b/>
                <w:lang w:val="nl-NL"/>
              </w:rPr>
            </w:pPr>
            <w:r w:rsidRPr="00C30F05">
              <w:rPr>
                <w:b/>
                <w:lang w:val="nl-NL"/>
              </w:rPr>
              <w:t>Niet-blind</w:t>
            </w:r>
            <w:r w:rsidR="00C30F05" w:rsidRPr="00C30F05">
              <w:rPr>
                <w:b/>
                <w:lang w:val="nl-NL"/>
              </w:rPr>
              <w:t>e peer feedback</w:t>
            </w:r>
          </w:p>
        </w:tc>
      </w:tr>
      <w:tr w:rsidR="00791DAE" w:rsidRPr="004B6BDE" w:rsidTr="006F7BAB">
        <w:tc>
          <w:tcPr>
            <w:tcW w:w="1951" w:type="dxa"/>
          </w:tcPr>
          <w:p w:rsidR="00791DAE" w:rsidRPr="00C30F05" w:rsidRDefault="00791DAE" w:rsidP="00972E14">
            <w:pPr>
              <w:rPr>
                <w:b/>
                <w:lang w:val="nl-NL"/>
              </w:rPr>
            </w:pPr>
            <w:r w:rsidRPr="00C30F05">
              <w:rPr>
                <w:b/>
                <w:lang w:val="nl-NL"/>
              </w:rPr>
              <w:t>Voor- en nadelen</w:t>
            </w:r>
          </w:p>
        </w:tc>
        <w:tc>
          <w:tcPr>
            <w:tcW w:w="3544" w:type="dxa"/>
          </w:tcPr>
          <w:p w:rsidR="00791DAE" w:rsidRDefault="00791DAE" w:rsidP="00972E14">
            <w:pPr>
              <w:rPr>
                <w:lang w:val="nl-NL"/>
              </w:rPr>
            </w:pPr>
            <w:r>
              <w:rPr>
                <w:lang w:val="nl-NL"/>
              </w:rPr>
              <w:t>Cursisten voelen zich vrijer om feedback te geven</w:t>
            </w:r>
          </w:p>
          <w:p w:rsidR="00791DAE" w:rsidRDefault="00791DAE" w:rsidP="00972E14">
            <w:pPr>
              <w:rPr>
                <w:lang w:val="nl-NL"/>
              </w:rPr>
            </w:pPr>
            <w:r>
              <w:rPr>
                <w:lang w:val="nl-NL"/>
              </w:rPr>
              <w:t xml:space="preserve">Kan </w:t>
            </w:r>
            <w:r w:rsidR="00972E14">
              <w:rPr>
                <w:lang w:val="nl-NL"/>
              </w:rPr>
              <w:t>(</w:t>
            </w:r>
            <w:r>
              <w:rPr>
                <w:lang w:val="nl-NL"/>
              </w:rPr>
              <w:t>Aziatische</w:t>
            </w:r>
            <w:r w:rsidR="00972E14">
              <w:rPr>
                <w:lang w:val="nl-NL"/>
              </w:rPr>
              <w:t>)</w:t>
            </w:r>
            <w:r>
              <w:rPr>
                <w:lang w:val="nl-NL"/>
              </w:rPr>
              <w:t xml:space="preserve"> cursisten helpen om verlies van ‘face’ te voorkomen</w:t>
            </w:r>
          </w:p>
          <w:p w:rsidR="008528FB" w:rsidRDefault="008528FB" w:rsidP="008528FB">
            <w:pPr>
              <w:rPr>
                <w:lang w:val="nl-NL"/>
              </w:rPr>
            </w:pPr>
            <w:r>
              <w:rPr>
                <w:lang w:val="nl-NL"/>
              </w:rPr>
              <w:t>In academische context: sluit goed aan bij professionele reviewmethodes van wetenschappelijk publiceren</w:t>
            </w:r>
          </w:p>
          <w:p w:rsidR="008528FB" w:rsidRDefault="008528FB" w:rsidP="00972E14">
            <w:pPr>
              <w:rPr>
                <w:lang w:val="nl-NL"/>
              </w:rPr>
            </w:pPr>
          </w:p>
          <w:p w:rsidR="00791DAE" w:rsidRDefault="00791DAE" w:rsidP="00972E14">
            <w:pPr>
              <w:rPr>
                <w:lang w:val="nl-NL"/>
              </w:rPr>
            </w:pPr>
            <w:r>
              <w:rPr>
                <w:lang w:val="nl-NL"/>
              </w:rPr>
              <w:t>Vereist meer  organisatie dan niet-blinde peer feedback</w:t>
            </w:r>
          </w:p>
          <w:p w:rsidR="00791DAE" w:rsidRDefault="00791DAE" w:rsidP="00972E14">
            <w:pPr>
              <w:rPr>
                <w:lang w:val="nl-NL"/>
              </w:rPr>
            </w:pPr>
          </w:p>
        </w:tc>
        <w:tc>
          <w:tcPr>
            <w:tcW w:w="4081" w:type="dxa"/>
          </w:tcPr>
          <w:p w:rsidR="008528FB" w:rsidRDefault="008528FB" w:rsidP="00972E14">
            <w:pPr>
              <w:rPr>
                <w:lang w:val="nl-NL"/>
              </w:rPr>
            </w:pPr>
            <w:r>
              <w:rPr>
                <w:lang w:val="nl-NL"/>
              </w:rPr>
              <w:t>Is gemakkelijker te organiseren dan blinde peer feedback</w:t>
            </w:r>
          </w:p>
          <w:p w:rsidR="008528FB" w:rsidRDefault="008528FB" w:rsidP="00972E14">
            <w:pPr>
              <w:rPr>
                <w:lang w:val="nl-NL"/>
              </w:rPr>
            </w:pPr>
          </w:p>
          <w:p w:rsidR="00791DAE" w:rsidRDefault="00791DAE" w:rsidP="00972E14">
            <w:pPr>
              <w:rPr>
                <w:lang w:val="nl-NL"/>
              </w:rPr>
            </w:pPr>
            <w:r>
              <w:rPr>
                <w:lang w:val="nl-NL"/>
              </w:rPr>
              <w:t>Cursisten weten van wie de feedback komt en maken op basis daarvan een inschatting van de kwaliteit</w:t>
            </w:r>
            <w:r w:rsidR="008528FB">
              <w:rPr>
                <w:lang w:val="nl-NL"/>
              </w:rPr>
              <w:t xml:space="preserve"> (nemen elkaar daardoor in meerdere of mindere mate serieus)</w:t>
            </w:r>
          </w:p>
          <w:p w:rsidR="00791DAE" w:rsidRDefault="00791DAE" w:rsidP="00972E14">
            <w:pPr>
              <w:rPr>
                <w:lang w:val="nl-NL"/>
              </w:rPr>
            </w:pPr>
            <w:r>
              <w:rPr>
                <w:lang w:val="nl-NL"/>
              </w:rPr>
              <w:t>Kan face-verlies opleveren, wat bedreigend kan zijn voor vooral Aziatische studenten</w:t>
            </w:r>
          </w:p>
          <w:p w:rsidR="00791DAE" w:rsidRDefault="00791DAE" w:rsidP="00972E14">
            <w:pPr>
              <w:rPr>
                <w:lang w:val="nl-NL"/>
              </w:rPr>
            </w:pPr>
          </w:p>
        </w:tc>
      </w:tr>
      <w:tr w:rsidR="00B34FF2" w:rsidRPr="004B6BDE" w:rsidTr="00972E14">
        <w:trPr>
          <w:trHeight w:val="826"/>
        </w:trPr>
        <w:tc>
          <w:tcPr>
            <w:tcW w:w="9576" w:type="dxa"/>
            <w:gridSpan w:val="3"/>
          </w:tcPr>
          <w:p w:rsidR="00B34FF2" w:rsidRDefault="00B34FF2" w:rsidP="00972E14">
            <w:pPr>
              <w:rPr>
                <w:lang w:val="nl-NL"/>
              </w:rPr>
            </w:pPr>
            <w:r>
              <w:rPr>
                <w:lang w:val="nl-NL"/>
              </w:rPr>
              <w:t xml:space="preserve">IT-omgeving waarin peer feedback relatief gemakkelijk blind te organiseren is: </w:t>
            </w:r>
            <w:proofErr w:type="spellStart"/>
            <w:r>
              <w:rPr>
                <w:lang w:val="nl-NL"/>
              </w:rPr>
              <w:t>Turnitin</w:t>
            </w:r>
            <w:proofErr w:type="spellEnd"/>
          </w:p>
          <w:p w:rsidR="00B34FF2" w:rsidRDefault="00B34FF2" w:rsidP="00972E14">
            <w:pPr>
              <w:rPr>
                <w:lang w:val="nl-NL"/>
              </w:rPr>
            </w:pPr>
            <w:r>
              <w:rPr>
                <w:lang w:val="nl-NL"/>
              </w:rPr>
              <w:t>Achtergrondliteratuur:</w:t>
            </w:r>
            <w:r w:rsidR="00123095">
              <w:rPr>
                <w:lang w:val="nl-NL"/>
              </w:rPr>
              <w:t xml:space="preserve"> </w:t>
            </w:r>
            <w:proofErr w:type="spellStart"/>
            <w:r w:rsidR="006F7BAB">
              <w:rPr>
                <w:lang w:val="nl-NL"/>
              </w:rPr>
              <w:t>Xiao</w:t>
            </w:r>
            <w:proofErr w:type="spellEnd"/>
            <w:r w:rsidR="006F7BAB">
              <w:rPr>
                <w:lang w:val="nl-NL"/>
              </w:rPr>
              <w:t xml:space="preserve"> &amp; </w:t>
            </w:r>
            <w:proofErr w:type="spellStart"/>
            <w:r w:rsidR="006F7BAB">
              <w:rPr>
                <w:lang w:val="nl-NL"/>
              </w:rPr>
              <w:t>Lucking</w:t>
            </w:r>
            <w:proofErr w:type="spellEnd"/>
            <w:r w:rsidR="006F7BAB">
              <w:rPr>
                <w:lang w:val="nl-NL"/>
              </w:rPr>
              <w:t xml:space="preserve"> 2008, </w:t>
            </w:r>
            <w:r w:rsidR="00123095">
              <w:rPr>
                <w:lang w:val="nl-NL"/>
              </w:rPr>
              <w:t xml:space="preserve">Brookhart, Nelson &amp; </w:t>
            </w:r>
            <w:proofErr w:type="spellStart"/>
            <w:r w:rsidR="00123095">
              <w:rPr>
                <w:lang w:val="nl-NL"/>
              </w:rPr>
              <w:t>Carson</w:t>
            </w:r>
            <w:proofErr w:type="spellEnd"/>
            <w:r w:rsidR="00972E14">
              <w:rPr>
                <w:lang w:val="nl-NL"/>
              </w:rPr>
              <w:t xml:space="preserve"> 2006 (In </w:t>
            </w:r>
            <w:proofErr w:type="spellStart"/>
            <w:r w:rsidR="00972E14">
              <w:rPr>
                <w:lang w:val="nl-NL"/>
              </w:rPr>
              <w:t>Hyland</w:t>
            </w:r>
            <w:proofErr w:type="spellEnd"/>
            <w:r w:rsidR="00972E14">
              <w:rPr>
                <w:lang w:val="nl-NL"/>
              </w:rPr>
              <w:t xml:space="preserve"> &amp; </w:t>
            </w:r>
            <w:proofErr w:type="spellStart"/>
            <w:r w:rsidR="00972E14">
              <w:rPr>
                <w:lang w:val="nl-NL"/>
              </w:rPr>
              <w:t>Hyland</w:t>
            </w:r>
            <w:proofErr w:type="spellEnd"/>
            <w:r w:rsidR="00972E14">
              <w:rPr>
                <w:lang w:val="nl-NL"/>
              </w:rPr>
              <w:t xml:space="preserve"> 2006)</w:t>
            </w:r>
          </w:p>
          <w:p w:rsidR="00972E14" w:rsidRDefault="00972E14" w:rsidP="00972E14">
            <w:pPr>
              <w:rPr>
                <w:lang w:val="nl-NL"/>
              </w:rPr>
            </w:pPr>
            <w:r>
              <w:rPr>
                <w:lang w:val="nl-NL"/>
              </w:rPr>
              <w:t xml:space="preserve">Tussenvorm: blind via de docent: de docent koppelt cursisten aan elkaar op basis van enkele andere aspecten (bijvoorbeeld: gemeenschappelijke L1, sterke/zwakke schrijver, </w:t>
            </w:r>
            <w:r w:rsidR="00DA718E">
              <w:rPr>
                <w:lang w:val="nl-NL"/>
              </w:rPr>
              <w:t>positief zelfbeeld. Voordeel: de docent kan controleren of de tekst goed geanonimiseerd is.</w:t>
            </w:r>
          </w:p>
        </w:tc>
      </w:tr>
      <w:tr w:rsidR="00791DAE" w:rsidTr="00972E14">
        <w:trPr>
          <w:trHeight w:val="826"/>
        </w:trPr>
        <w:tc>
          <w:tcPr>
            <w:tcW w:w="9576" w:type="dxa"/>
            <w:gridSpan w:val="3"/>
          </w:tcPr>
          <w:p w:rsidR="00791DAE" w:rsidRDefault="00791DAE" w:rsidP="00B34FF2">
            <w:pPr>
              <w:rPr>
                <w:lang w:val="nl-NL"/>
              </w:rPr>
            </w:pPr>
            <w:r>
              <w:rPr>
                <w:lang w:val="nl-NL"/>
              </w:rPr>
              <w:t xml:space="preserve">Welke werkwijze is in jouw situatie </w:t>
            </w:r>
            <w:r w:rsidR="00B34FF2">
              <w:rPr>
                <w:lang w:val="nl-NL"/>
              </w:rPr>
              <w:t>haalbaar</w:t>
            </w:r>
            <w:r>
              <w:rPr>
                <w:lang w:val="nl-NL"/>
              </w:rPr>
              <w:t>? Waarom?</w:t>
            </w:r>
          </w:p>
        </w:tc>
      </w:tr>
    </w:tbl>
    <w:p w:rsidR="00791DAE" w:rsidRDefault="00791DAE" w:rsidP="00791DAE">
      <w:pPr>
        <w:rPr>
          <w:lang w:val="nl-NL"/>
        </w:rPr>
      </w:pPr>
    </w:p>
    <w:p w:rsidR="00791DAE" w:rsidRDefault="006F7BAB" w:rsidP="00791DAE">
      <w:pPr>
        <w:rPr>
          <w:lang w:val="nl-NL"/>
        </w:rPr>
      </w:pPr>
      <w:r>
        <w:rPr>
          <w:lang w:val="nl-NL"/>
        </w:rPr>
        <w:br w:type="page"/>
      </w:r>
    </w:p>
    <w:p w:rsidR="00791DAE" w:rsidRDefault="00791DAE" w:rsidP="00791DAE">
      <w:pPr>
        <w:rPr>
          <w:lang w:val="nl-NL"/>
        </w:rPr>
      </w:pPr>
    </w:p>
    <w:tbl>
      <w:tblPr>
        <w:tblStyle w:val="TableGrid"/>
        <w:tblW w:w="0" w:type="auto"/>
        <w:tblLook w:val="04A0" w:firstRow="1" w:lastRow="0" w:firstColumn="1" w:lastColumn="0" w:noHBand="0" w:noVBand="1"/>
      </w:tblPr>
      <w:tblGrid>
        <w:gridCol w:w="2093"/>
        <w:gridCol w:w="3260"/>
        <w:gridCol w:w="4223"/>
      </w:tblGrid>
      <w:tr w:rsidR="00791DAE" w:rsidRPr="004B6BDE" w:rsidTr="006F7BAB">
        <w:tc>
          <w:tcPr>
            <w:tcW w:w="2093" w:type="dxa"/>
          </w:tcPr>
          <w:p w:rsidR="00791DAE" w:rsidRDefault="00791DAE" w:rsidP="00972E14">
            <w:pPr>
              <w:rPr>
                <w:lang w:val="nl-NL"/>
              </w:rPr>
            </w:pPr>
          </w:p>
        </w:tc>
        <w:tc>
          <w:tcPr>
            <w:tcW w:w="3260" w:type="dxa"/>
          </w:tcPr>
          <w:p w:rsidR="00791DAE" w:rsidRPr="00C30F05" w:rsidRDefault="004B6BDE" w:rsidP="00972E14">
            <w:pPr>
              <w:rPr>
                <w:b/>
                <w:lang w:val="nl-NL"/>
              </w:rPr>
            </w:pPr>
            <w:r w:rsidRPr="00C30F05">
              <w:rPr>
                <w:b/>
                <w:lang w:val="nl-NL"/>
              </w:rPr>
              <w:t>Wel differentië</w:t>
            </w:r>
            <w:r w:rsidR="00791DAE" w:rsidRPr="00C30F05">
              <w:rPr>
                <w:b/>
                <w:lang w:val="nl-NL"/>
              </w:rPr>
              <w:t>ren tussen sterke en zwakke schrijvers</w:t>
            </w:r>
          </w:p>
        </w:tc>
        <w:tc>
          <w:tcPr>
            <w:tcW w:w="4223" w:type="dxa"/>
          </w:tcPr>
          <w:p w:rsidR="00791DAE" w:rsidRPr="00C30F05" w:rsidRDefault="004B6BDE" w:rsidP="00972E14">
            <w:pPr>
              <w:rPr>
                <w:b/>
                <w:lang w:val="nl-NL"/>
              </w:rPr>
            </w:pPr>
            <w:r w:rsidRPr="00C30F05">
              <w:rPr>
                <w:b/>
                <w:lang w:val="nl-NL"/>
              </w:rPr>
              <w:t>Niet differentië</w:t>
            </w:r>
            <w:r w:rsidR="00791DAE" w:rsidRPr="00C30F05">
              <w:rPr>
                <w:b/>
                <w:lang w:val="nl-NL"/>
              </w:rPr>
              <w:t>ren tussen sterke en zwakke schrijvers</w:t>
            </w:r>
          </w:p>
        </w:tc>
      </w:tr>
      <w:tr w:rsidR="00791DAE" w:rsidRPr="004B6BDE" w:rsidTr="006F7BAB">
        <w:tc>
          <w:tcPr>
            <w:tcW w:w="2093" w:type="dxa"/>
          </w:tcPr>
          <w:p w:rsidR="00791DAE" w:rsidRPr="00C30F05" w:rsidRDefault="00791DAE" w:rsidP="00972E14">
            <w:pPr>
              <w:rPr>
                <w:b/>
                <w:lang w:val="nl-NL"/>
              </w:rPr>
            </w:pPr>
            <w:r w:rsidRPr="00C30F05">
              <w:rPr>
                <w:b/>
                <w:lang w:val="nl-NL"/>
              </w:rPr>
              <w:t>Voor- en nadelen</w:t>
            </w:r>
          </w:p>
        </w:tc>
        <w:tc>
          <w:tcPr>
            <w:tcW w:w="3260" w:type="dxa"/>
          </w:tcPr>
          <w:p w:rsidR="00791DAE" w:rsidRDefault="00EF1225" w:rsidP="00972E14">
            <w:pPr>
              <w:rPr>
                <w:lang w:val="nl-NL"/>
              </w:rPr>
            </w:pPr>
            <w:r>
              <w:rPr>
                <w:lang w:val="nl-NL"/>
              </w:rPr>
              <w:t>Sterke en sterke schrijvers kunnen elkaar goede peer feedback geven</w:t>
            </w:r>
          </w:p>
          <w:p w:rsidR="004B6BDE" w:rsidRDefault="004B6BDE" w:rsidP="00EF1225">
            <w:pPr>
              <w:rPr>
                <w:lang w:val="nl-NL"/>
              </w:rPr>
            </w:pPr>
          </w:p>
          <w:p w:rsidR="00EF1225" w:rsidRDefault="00EF1225" w:rsidP="00EF1225">
            <w:pPr>
              <w:rPr>
                <w:lang w:val="nl-NL"/>
              </w:rPr>
            </w:pPr>
            <w:r>
              <w:rPr>
                <w:lang w:val="nl-NL"/>
              </w:rPr>
              <w:t>Zwakke en zwakke schrijvers hebben elkaar waarschijnlijk niet veel te bieden, wat hun onzekerheid zal vergroten.</w:t>
            </w:r>
          </w:p>
          <w:p w:rsidR="00EF1225" w:rsidRDefault="00EF1225" w:rsidP="00EF1225">
            <w:pPr>
              <w:rPr>
                <w:lang w:val="nl-NL"/>
              </w:rPr>
            </w:pPr>
          </w:p>
        </w:tc>
        <w:tc>
          <w:tcPr>
            <w:tcW w:w="4223" w:type="dxa"/>
          </w:tcPr>
          <w:p w:rsidR="00EF1225" w:rsidRDefault="00DA718E" w:rsidP="00EF1225">
            <w:pPr>
              <w:rPr>
                <w:lang w:val="nl-NL"/>
              </w:rPr>
            </w:pPr>
            <w:r>
              <w:rPr>
                <w:lang w:val="nl-NL"/>
              </w:rPr>
              <w:t>Sterke en zwa</w:t>
            </w:r>
            <w:r w:rsidR="00EF1225">
              <w:rPr>
                <w:lang w:val="nl-NL"/>
              </w:rPr>
              <w:t>kke schrijvers kunnen elkaar goede peer feedback geven als ze van elkaar weten dat ze sterk/zwak zijn en als de sterkte schrijver weet dat hij iets komt ‘brengen’ (en daarbij bijvoorbeeld kan  leren om feedback te geven) en de zwakke schrijver daadwerkelijk hulp krijgt bij het verbeteren van de tekst</w:t>
            </w:r>
            <w:r w:rsidR="00B34FF2">
              <w:rPr>
                <w:lang w:val="nl-NL"/>
              </w:rPr>
              <w:t>.</w:t>
            </w:r>
          </w:p>
          <w:p w:rsidR="00EF1225" w:rsidRDefault="00EF1225" w:rsidP="00EF1225">
            <w:pPr>
              <w:rPr>
                <w:lang w:val="nl-NL"/>
              </w:rPr>
            </w:pPr>
          </w:p>
          <w:p w:rsidR="00791DAE" w:rsidRDefault="00791DAE" w:rsidP="00972E14">
            <w:pPr>
              <w:rPr>
                <w:lang w:val="nl-NL"/>
              </w:rPr>
            </w:pPr>
          </w:p>
        </w:tc>
      </w:tr>
      <w:tr w:rsidR="00EF1225" w:rsidTr="00972E14">
        <w:trPr>
          <w:trHeight w:val="826"/>
        </w:trPr>
        <w:tc>
          <w:tcPr>
            <w:tcW w:w="9576" w:type="dxa"/>
            <w:gridSpan w:val="3"/>
          </w:tcPr>
          <w:p w:rsidR="00EF1225" w:rsidRDefault="00EF1225" w:rsidP="00972E14">
            <w:pPr>
              <w:rPr>
                <w:lang w:val="nl-NL"/>
              </w:rPr>
            </w:pPr>
            <w:r>
              <w:rPr>
                <w:lang w:val="nl-NL"/>
              </w:rPr>
              <w:t>Complicerende factor: hoe bepaal je wie een sterke en wie een zwakke schrijver is?</w:t>
            </w:r>
          </w:p>
          <w:p w:rsidR="00EF1225" w:rsidRDefault="00EF1225" w:rsidP="00972E14">
            <w:pPr>
              <w:rPr>
                <w:lang w:val="nl-NL"/>
              </w:rPr>
            </w:pPr>
            <w:r>
              <w:rPr>
                <w:lang w:val="nl-NL"/>
              </w:rPr>
              <w:t>Achtergrondliteratuur</w:t>
            </w:r>
            <w:r w:rsidR="00B34FF2">
              <w:rPr>
                <w:lang w:val="nl-NL"/>
              </w:rPr>
              <w:t>:</w:t>
            </w:r>
            <w:r w:rsidR="00972E14">
              <w:rPr>
                <w:lang w:val="nl-NL"/>
              </w:rPr>
              <w:t xml:space="preserve"> </w:t>
            </w:r>
            <w:proofErr w:type="spellStart"/>
            <w:r w:rsidR="00972E14">
              <w:rPr>
                <w:lang w:val="nl-NL"/>
              </w:rPr>
              <w:t>Jesnek</w:t>
            </w:r>
            <w:proofErr w:type="spellEnd"/>
            <w:r w:rsidR="00972E14">
              <w:rPr>
                <w:lang w:val="nl-NL"/>
              </w:rPr>
              <w:t xml:space="preserve"> 2011</w:t>
            </w:r>
          </w:p>
        </w:tc>
      </w:tr>
      <w:tr w:rsidR="00791DAE" w:rsidTr="00972E14">
        <w:trPr>
          <w:trHeight w:val="826"/>
        </w:trPr>
        <w:tc>
          <w:tcPr>
            <w:tcW w:w="9576" w:type="dxa"/>
            <w:gridSpan w:val="3"/>
          </w:tcPr>
          <w:p w:rsidR="00791DAE" w:rsidRDefault="00791DAE" w:rsidP="00B34FF2">
            <w:pPr>
              <w:rPr>
                <w:lang w:val="nl-NL"/>
              </w:rPr>
            </w:pPr>
            <w:r>
              <w:rPr>
                <w:lang w:val="nl-NL"/>
              </w:rPr>
              <w:t>Welke</w:t>
            </w:r>
            <w:r w:rsidR="00B34FF2">
              <w:rPr>
                <w:lang w:val="nl-NL"/>
              </w:rPr>
              <w:t xml:space="preserve"> werkwijze is in jouw situatie haalbaar</w:t>
            </w:r>
            <w:r>
              <w:rPr>
                <w:lang w:val="nl-NL"/>
              </w:rPr>
              <w:t>? Waarom?</w:t>
            </w:r>
          </w:p>
        </w:tc>
      </w:tr>
    </w:tbl>
    <w:p w:rsidR="00791DAE" w:rsidRDefault="00791DAE" w:rsidP="00791DAE">
      <w:pPr>
        <w:rPr>
          <w:lang w:val="nl-NL"/>
        </w:rPr>
      </w:pPr>
    </w:p>
    <w:tbl>
      <w:tblPr>
        <w:tblStyle w:val="TableGrid"/>
        <w:tblW w:w="0" w:type="auto"/>
        <w:tblLook w:val="04A0" w:firstRow="1" w:lastRow="0" w:firstColumn="1" w:lastColumn="0" w:noHBand="0" w:noVBand="1"/>
      </w:tblPr>
      <w:tblGrid>
        <w:gridCol w:w="2093"/>
        <w:gridCol w:w="3260"/>
        <w:gridCol w:w="4223"/>
      </w:tblGrid>
      <w:tr w:rsidR="00B34FF2" w:rsidTr="006F7BAB">
        <w:tc>
          <w:tcPr>
            <w:tcW w:w="2093" w:type="dxa"/>
          </w:tcPr>
          <w:p w:rsidR="00B34FF2" w:rsidRDefault="00B34FF2" w:rsidP="00972E14">
            <w:pPr>
              <w:rPr>
                <w:lang w:val="nl-NL"/>
              </w:rPr>
            </w:pPr>
          </w:p>
        </w:tc>
        <w:tc>
          <w:tcPr>
            <w:tcW w:w="3260" w:type="dxa"/>
          </w:tcPr>
          <w:p w:rsidR="00B34FF2" w:rsidRPr="00C30F05" w:rsidRDefault="00B34FF2" w:rsidP="00972E14">
            <w:pPr>
              <w:rPr>
                <w:b/>
                <w:lang w:val="nl-NL"/>
              </w:rPr>
            </w:pPr>
            <w:r w:rsidRPr="00C30F05">
              <w:rPr>
                <w:b/>
                <w:lang w:val="nl-NL"/>
              </w:rPr>
              <w:t>Wel een cijfer voor de peer feedbackopdracht geven</w:t>
            </w:r>
          </w:p>
        </w:tc>
        <w:tc>
          <w:tcPr>
            <w:tcW w:w="4223" w:type="dxa"/>
          </w:tcPr>
          <w:p w:rsidR="00B34FF2" w:rsidRPr="00C30F05" w:rsidRDefault="00B34FF2" w:rsidP="00972E14">
            <w:pPr>
              <w:rPr>
                <w:b/>
                <w:lang w:val="nl-NL"/>
              </w:rPr>
            </w:pPr>
            <w:r w:rsidRPr="00C30F05">
              <w:rPr>
                <w:b/>
                <w:lang w:val="nl-NL"/>
              </w:rPr>
              <w:t>Geen cijfer geven</w:t>
            </w:r>
          </w:p>
        </w:tc>
      </w:tr>
      <w:tr w:rsidR="00B34FF2" w:rsidRPr="004B6BDE" w:rsidTr="006F7BAB">
        <w:tc>
          <w:tcPr>
            <w:tcW w:w="2093" w:type="dxa"/>
          </w:tcPr>
          <w:p w:rsidR="00B34FF2" w:rsidRPr="00C30F05" w:rsidRDefault="00B34FF2" w:rsidP="00972E14">
            <w:pPr>
              <w:rPr>
                <w:b/>
                <w:lang w:val="nl-NL"/>
              </w:rPr>
            </w:pPr>
            <w:r w:rsidRPr="00C30F05">
              <w:rPr>
                <w:b/>
                <w:lang w:val="nl-NL"/>
              </w:rPr>
              <w:t>Voor- en nadelen</w:t>
            </w:r>
          </w:p>
        </w:tc>
        <w:tc>
          <w:tcPr>
            <w:tcW w:w="3260" w:type="dxa"/>
          </w:tcPr>
          <w:p w:rsidR="00B34FF2" w:rsidRDefault="00B34FF2" w:rsidP="00972E14">
            <w:pPr>
              <w:rPr>
                <w:lang w:val="nl-NL"/>
              </w:rPr>
            </w:pPr>
            <w:r>
              <w:rPr>
                <w:lang w:val="nl-NL"/>
              </w:rPr>
              <w:t>Motiveert om energie in de peer feedback te steken (wordt beloond)</w:t>
            </w:r>
          </w:p>
          <w:p w:rsidR="00B34FF2" w:rsidRDefault="00B34FF2" w:rsidP="00972E14">
            <w:pPr>
              <w:rPr>
                <w:lang w:val="nl-NL"/>
              </w:rPr>
            </w:pPr>
            <w:r>
              <w:rPr>
                <w:lang w:val="nl-NL"/>
              </w:rPr>
              <w:t>Werkt goed bij minder gemotiveerde cursisten</w:t>
            </w:r>
          </w:p>
          <w:p w:rsidR="00B34FF2" w:rsidRDefault="00B34FF2" w:rsidP="00972E14">
            <w:pPr>
              <w:rPr>
                <w:lang w:val="nl-NL"/>
              </w:rPr>
            </w:pPr>
          </w:p>
        </w:tc>
        <w:tc>
          <w:tcPr>
            <w:tcW w:w="4223" w:type="dxa"/>
          </w:tcPr>
          <w:p w:rsidR="00B34FF2" w:rsidRDefault="008528FB" w:rsidP="00972E14">
            <w:pPr>
              <w:rPr>
                <w:lang w:val="nl-NL"/>
              </w:rPr>
            </w:pPr>
            <w:r>
              <w:rPr>
                <w:lang w:val="nl-NL"/>
              </w:rPr>
              <w:t>Kan goed bij intrinsiek gemotiveerde cursisten</w:t>
            </w:r>
          </w:p>
        </w:tc>
      </w:tr>
      <w:tr w:rsidR="00B34FF2" w:rsidTr="00972E14">
        <w:trPr>
          <w:trHeight w:val="826"/>
        </w:trPr>
        <w:tc>
          <w:tcPr>
            <w:tcW w:w="9576" w:type="dxa"/>
            <w:gridSpan w:val="3"/>
          </w:tcPr>
          <w:p w:rsidR="00B34FF2" w:rsidRDefault="008528FB" w:rsidP="00972E14">
            <w:pPr>
              <w:rPr>
                <w:lang w:val="nl-NL"/>
              </w:rPr>
            </w:pPr>
            <w:r>
              <w:rPr>
                <w:lang w:val="nl-NL"/>
              </w:rPr>
              <w:t>Voorwaarde: vereist beoordelingscriteria voor de peer feedback</w:t>
            </w:r>
          </w:p>
          <w:p w:rsidR="004A3CF8" w:rsidRDefault="004A3CF8" w:rsidP="00972E14">
            <w:pPr>
              <w:rPr>
                <w:lang w:val="nl-NL"/>
              </w:rPr>
            </w:pPr>
            <w:r>
              <w:rPr>
                <w:lang w:val="nl-NL"/>
              </w:rPr>
              <w:t>Achtergrondliteratuur: Brookhart, 2008</w:t>
            </w:r>
          </w:p>
          <w:p w:rsidR="008528FB" w:rsidRDefault="008528FB" w:rsidP="00972E14">
            <w:pPr>
              <w:rPr>
                <w:lang w:val="nl-NL"/>
              </w:rPr>
            </w:pPr>
            <w:r>
              <w:rPr>
                <w:lang w:val="nl-NL"/>
              </w:rPr>
              <w:t xml:space="preserve">Zie </w:t>
            </w:r>
            <w:proofErr w:type="spellStart"/>
            <w:r>
              <w:rPr>
                <w:lang w:val="nl-NL"/>
              </w:rPr>
              <w:t>rubric</w:t>
            </w:r>
            <w:proofErr w:type="spellEnd"/>
            <w:r>
              <w:rPr>
                <w:lang w:val="nl-NL"/>
              </w:rPr>
              <w:t xml:space="preserve"> TU Delft</w:t>
            </w:r>
          </w:p>
        </w:tc>
      </w:tr>
      <w:tr w:rsidR="00B34FF2" w:rsidTr="006F7BAB">
        <w:trPr>
          <w:trHeight w:val="465"/>
        </w:trPr>
        <w:tc>
          <w:tcPr>
            <w:tcW w:w="9576" w:type="dxa"/>
            <w:gridSpan w:val="3"/>
          </w:tcPr>
          <w:p w:rsidR="00B34FF2" w:rsidRDefault="00B34FF2" w:rsidP="00972E14">
            <w:pPr>
              <w:rPr>
                <w:lang w:val="nl-NL"/>
              </w:rPr>
            </w:pPr>
            <w:r>
              <w:rPr>
                <w:lang w:val="nl-NL"/>
              </w:rPr>
              <w:t>Welke werkwijze is in jouw situatie het geschiktst? Waarom?</w:t>
            </w:r>
          </w:p>
        </w:tc>
      </w:tr>
    </w:tbl>
    <w:p w:rsidR="00B34FF2" w:rsidRDefault="00B34FF2" w:rsidP="00B34FF2">
      <w:pPr>
        <w:rPr>
          <w:lang w:val="nl-NL"/>
        </w:rPr>
      </w:pPr>
    </w:p>
    <w:tbl>
      <w:tblPr>
        <w:tblStyle w:val="TableGrid"/>
        <w:tblW w:w="0" w:type="auto"/>
        <w:tblLook w:val="04A0" w:firstRow="1" w:lastRow="0" w:firstColumn="1" w:lastColumn="0" w:noHBand="0" w:noVBand="1"/>
      </w:tblPr>
      <w:tblGrid>
        <w:gridCol w:w="1951"/>
        <w:gridCol w:w="3544"/>
        <w:gridCol w:w="4081"/>
      </w:tblGrid>
      <w:tr w:rsidR="006F7BAB" w:rsidRPr="004B6BDE" w:rsidTr="005C13CE">
        <w:tc>
          <w:tcPr>
            <w:tcW w:w="1951" w:type="dxa"/>
          </w:tcPr>
          <w:p w:rsidR="006F7BAB" w:rsidRDefault="006F7BAB" w:rsidP="005C13CE">
            <w:pPr>
              <w:rPr>
                <w:lang w:val="nl-NL"/>
              </w:rPr>
            </w:pPr>
          </w:p>
        </w:tc>
        <w:tc>
          <w:tcPr>
            <w:tcW w:w="3544" w:type="dxa"/>
          </w:tcPr>
          <w:p w:rsidR="006F7BAB" w:rsidRPr="00C30F05" w:rsidRDefault="006F7BAB" w:rsidP="005C13CE">
            <w:pPr>
              <w:rPr>
                <w:b/>
                <w:lang w:val="nl-NL"/>
              </w:rPr>
            </w:pPr>
            <w:r w:rsidRPr="00C30F05">
              <w:rPr>
                <w:b/>
                <w:lang w:val="nl-NL"/>
              </w:rPr>
              <w:t>Cursisten hebben gemeenschappelijke T1</w:t>
            </w:r>
          </w:p>
        </w:tc>
        <w:tc>
          <w:tcPr>
            <w:tcW w:w="4081" w:type="dxa"/>
          </w:tcPr>
          <w:p w:rsidR="006F7BAB" w:rsidRPr="00C30F05" w:rsidRDefault="006F7BAB" w:rsidP="005C13CE">
            <w:pPr>
              <w:rPr>
                <w:b/>
                <w:lang w:val="nl-NL"/>
              </w:rPr>
            </w:pPr>
            <w:r w:rsidRPr="00C30F05">
              <w:rPr>
                <w:b/>
                <w:lang w:val="nl-NL"/>
              </w:rPr>
              <w:t>Cursisten hebben geen gemeenschappelijke T1</w:t>
            </w:r>
          </w:p>
        </w:tc>
      </w:tr>
      <w:tr w:rsidR="006F7BAB" w:rsidRPr="004B6BDE" w:rsidTr="005C13CE">
        <w:tc>
          <w:tcPr>
            <w:tcW w:w="1951" w:type="dxa"/>
          </w:tcPr>
          <w:p w:rsidR="006F7BAB" w:rsidRPr="00C30F05" w:rsidRDefault="006F7BAB" w:rsidP="005C13CE">
            <w:pPr>
              <w:rPr>
                <w:b/>
                <w:lang w:val="nl-NL"/>
              </w:rPr>
            </w:pPr>
            <w:r w:rsidRPr="00C30F05">
              <w:rPr>
                <w:b/>
                <w:lang w:val="nl-NL"/>
              </w:rPr>
              <w:t>Voor- en nadelen</w:t>
            </w:r>
          </w:p>
        </w:tc>
        <w:tc>
          <w:tcPr>
            <w:tcW w:w="3544" w:type="dxa"/>
          </w:tcPr>
          <w:p w:rsidR="006F7BAB" w:rsidRDefault="006F7BAB" w:rsidP="005C13CE">
            <w:pPr>
              <w:rPr>
                <w:lang w:val="nl-NL"/>
              </w:rPr>
            </w:pPr>
            <w:r>
              <w:rPr>
                <w:lang w:val="nl-NL"/>
              </w:rPr>
              <w:t xml:space="preserve">Peer feedback onder T2-cursisten werkt beter als de cursisten een gemeenschappelijke T1 hebben, waarin ze hun peer feedback kunnen toelichten. </w:t>
            </w:r>
          </w:p>
          <w:p w:rsidR="006F7BAB" w:rsidRDefault="006F7BAB" w:rsidP="005C13CE">
            <w:pPr>
              <w:rPr>
                <w:lang w:val="nl-NL"/>
              </w:rPr>
            </w:pPr>
            <w:r>
              <w:rPr>
                <w:lang w:val="nl-NL"/>
              </w:rPr>
              <w:t>Alleen van toepassing in een niet-blinde peer feedback-situatie</w:t>
            </w:r>
          </w:p>
        </w:tc>
        <w:tc>
          <w:tcPr>
            <w:tcW w:w="4081" w:type="dxa"/>
          </w:tcPr>
          <w:p w:rsidR="006F7BAB" w:rsidRDefault="006F7BAB" w:rsidP="005C13CE">
            <w:pPr>
              <w:rPr>
                <w:lang w:val="nl-NL"/>
              </w:rPr>
            </w:pPr>
            <w:r>
              <w:rPr>
                <w:lang w:val="nl-NL"/>
              </w:rPr>
              <w:t>Cursisten kunnen niet in hun eigen taal genuanceerd de feedback toelichten</w:t>
            </w:r>
          </w:p>
          <w:p w:rsidR="006F7BAB" w:rsidRDefault="006F7BAB" w:rsidP="005C13CE">
            <w:pPr>
              <w:rPr>
                <w:lang w:val="nl-NL"/>
              </w:rPr>
            </w:pPr>
          </w:p>
        </w:tc>
      </w:tr>
      <w:tr w:rsidR="006F7BAB" w:rsidTr="006F7BAB">
        <w:trPr>
          <w:trHeight w:val="383"/>
        </w:trPr>
        <w:tc>
          <w:tcPr>
            <w:tcW w:w="9576" w:type="dxa"/>
            <w:gridSpan w:val="3"/>
          </w:tcPr>
          <w:p w:rsidR="006F7BAB" w:rsidRDefault="006F7BAB" w:rsidP="005C13CE">
            <w:pPr>
              <w:rPr>
                <w:lang w:val="nl-NL"/>
              </w:rPr>
            </w:pPr>
            <w:r>
              <w:rPr>
                <w:lang w:val="nl-NL"/>
              </w:rPr>
              <w:t xml:space="preserve">Achtergrondliteratuur: Nelson &amp; </w:t>
            </w:r>
            <w:proofErr w:type="spellStart"/>
            <w:r>
              <w:rPr>
                <w:lang w:val="nl-NL"/>
              </w:rPr>
              <w:t>Carson</w:t>
            </w:r>
            <w:proofErr w:type="spellEnd"/>
            <w:r>
              <w:rPr>
                <w:lang w:val="nl-NL"/>
              </w:rPr>
              <w:t>, 2006</w:t>
            </w:r>
          </w:p>
        </w:tc>
      </w:tr>
      <w:tr w:rsidR="006F7BAB" w:rsidTr="005C13CE">
        <w:trPr>
          <w:trHeight w:val="826"/>
        </w:trPr>
        <w:tc>
          <w:tcPr>
            <w:tcW w:w="9576" w:type="dxa"/>
            <w:gridSpan w:val="3"/>
          </w:tcPr>
          <w:p w:rsidR="006F7BAB" w:rsidRDefault="006F7BAB" w:rsidP="005C13CE">
            <w:pPr>
              <w:rPr>
                <w:lang w:val="nl-NL"/>
              </w:rPr>
            </w:pPr>
            <w:r>
              <w:rPr>
                <w:lang w:val="nl-NL"/>
              </w:rPr>
              <w:t>Welke werkwijze is in jouw situatie het geschiktst? Waarom?</w:t>
            </w:r>
          </w:p>
        </w:tc>
      </w:tr>
    </w:tbl>
    <w:p w:rsidR="006F7BAB" w:rsidRDefault="006F7BAB" w:rsidP="006F7BAB">
      <w:pPr>
        <w:rPr>
          <w:lang w:val="nl-NL"/>
        </w:rPr>
      </w:pPr>
    </w:p>
    <w:p w:rsidR="006F7BAB" w:rsidRPr="008C2D50" w:rsidRDefault="006F7BAB" w:rsidP="006F7BAB">
      <w:pPr>
        <w:rPr>
          <w:b/>
          <w:lang w:val="nl-NL"/>
        </w:rPr>
      </w:pPr>
      <w:r w:rsidRPr="008C2D50">
        <w:rPr>
          <w:b/>
          <w:lang w:val="nl-NL"/>
        </w:rPr>
        <w:t>Literatuurlijst over (peer) feedback</w:t>
      </w:r>
    </w:p>
    <w:p w:rsidR="006F7BAB" w:rsidRPr="008C2D50" w:rsidRDefault="006F7BAB" w:rsidP="006F7BAB">
      <w:pPr>
        <w:rPr>
          <w:lang w:val="nl-NL"/>
        </w:rPr>
      </w:pPr>
    </w:p>
    <w:p w:rsidR="006F7BAB" w:rsidRDefault="006F7BAB" w:rsidP="006F7BAB">
      <w:r w:rsidRPr="008C2D50">
        <w:rPr>
          <w:rFonts w:eastAsia="Times New Roman"/>
          <w:lang w:val="nl-NL"/>
        </w:rPr>
        <w:t xml:space="preserve">Brookhart, S. M. (2008). </w:t>
      </w:r>
      <w:r w:rsidRPr="008C2D50">
        <w:rPr>
          <w:rFonts w:eastAsia="Times New Roman"/>
          <w:i/>
          <w:iCs/>
        </w:rPr>
        <w:t>How to give effective feedback to your students?</w:t>
      </w:r>
      <w:r w:rsidRPr="008C2D50">
        <w:rPr>
          <w:rFonts w:eastAsia="Times New Roman"/>
        </w:rPr>
        <w:t xml:space="preserve"> Alexandria, </w:t>
      </w:r>
    </w:p>
    <w:p w:rsidR="006F7BAB" w:rsidRPr="008C2D50" w:rsidRDefault="006F7BAB" w:rsidP="006F7BAB">
      <w:pPr>
        <w:rPr>
          <w:lang w:val="en-GB"/>
        </w:rPr>
      </w:pPr>
      <w:r>
        <w:tab/>
      </w:r>
      <w:r w:rsidRPr="008C2D50">
        <w:rPr>
          <w:rFonts w:eastAsia="Times New Roman"/>
        </w:rPr>
        <w:t>VA: Association for Supervision and Curriculum Development.</w:t>
      </w:r>
    </w:p>
    <w:p w:rsidR="006F7BAB" w:rsidRDefault="006F7BAB" w:rsidP="006F7BAB">
      <w:pPr>
        <w:rPr>
          <w:i/>
          <w:iCs/>
        </w:rPr>
      </w:pPr>
      <w:r w:rsidRPr="008C2D50">
        <w:rPr>
          <w:rFonts w:eastAsia="Times New Roman"/>
        </w:rPr>
        <w:t xml:space="preserve">Hattie, J., &amp; Timperley, H. (2007). The Power of Feedback. </w:t>
      </w:r>
      <w:r w:rsidRPr="008C2D50">
        <w:rPr>
          <w:rFonts w:eastAsia="Times New Roman"/>
          <w:i/>
          <w:iCs/>
        </w:rPr>
        <w:t xml:space="preserve">Review of Educational </w:t>
      </w:r>
    </w:p>
    <w:p w:rsidR="006F7BAB" w:rsidRPr="008C2D50" w:rsidRDefault="006F7BAB" w:rsidP="006F7BAB">
      <w:pPr>
        <w:rPr>
          <w:lang w:val="en-GB"/>
        </w:rPr>
      </w:pPr>
      <w:r>
        <w:rPr>
          <w:i/>
          <w:iCs/>
        </w:rPr>
        <w:tab/>
      </w:r>
      <w:r w:rsidRPr="008C2D50">
        <w:rPr>
          <w:rFonts w:eastAsia="Times New Roman"/>
          <w:i/>
          <w:iCs/>
        </w:rPr>
        <w:t>Research, 77</w:t>
      </w:r>
      <w:r w:rsidRPr="008C2D50">
        <w:rPr>
          <w:rFonts w:eastAsia="Times New Roman"/>
        </w:rPr>
        <w:t>(1), 81-112. doi:10.3102/003465430298487</w:t>
      </w:r>
    </w:p>
    <w:p w:rsidR="006F7BAB" w:rsidRDefault="006F7BAB" w:rsidP="006F7BAB">
      <w:proofErr w:type="spellStart"/>
      <w:r w:rsidRPr="008C2D50">
        <w:rPr>
          <w:rFonts w:eastAsia="Times New Roman"/>
        </w:rPr>
        <w:t>Jesnek</w:t>
      </w:r>
      <w:proofErr w:type="spellEnd"/>
      <w:r w:rsidRPr="008C2D50">
        <w:rPr>
          <w:rFonts w:eastAsia="Times New Roman"/>
        </w:rPr>
        <w:t xml:space="preserve">, L. M. (2011). Peer Editing In The 21st Century College Classroom: Do </w:t>
      </w:r>
    </w:p>
    <w:p w:rsidR="006F7BAB" w:rsidRDefault="006F7BAB" w:rsidP="006F7BAB">
      <w:pPr>
        <w:rPr>
          <w:i/>
          <w:iCs/>
        </w:rPr>
      </w:pPr>
      <w:r>
        <w:tab/>
      </w:r>
      <w:r w:rsidRPr="008C2D50">
        <w:rPr>
          <w:rFonts w:eastAsia="Times New Roman"/>
        </w:rPr>
        <w:t xml:space="preserve">Beginning Composition Students Truly Reap The Benefits? </w:t>
      </w:r>
      <w:r w:rsidRPr="008C2D50">
        <w:rPr>
          <w:rFonts w:eastAsia="Times New Roman"/>
          <w:i/>
          <w:iCs/>
        </w:rPr>
        <w:t xml:space="preserve">Journal of College </w:t>
      </w:r>
    </w:p>
    <w:p w:rsidR="006F7BAB" w:rsidRPr="008C2D50" w:rsidRDefault="006F7BAB" w:rsidP="006F7BAB">
      <w:pPr>
        <w:rPr>
          <w:lang w:val="en-GB"/>
        </w:rPr>
      </w:pPr>
      <w:r>
        <w:rPr>
          <w:i/>
          <w:iCs/>
        </w:rPr>
        <w:tab/>
      </w:r>
      <w:r w:rsidRPr="008C2D50">
        <w:rPr>
          <w:rFonts w:eastAsia="Times New Roman"/>
          <w:i/>
          <w:iCs/>
        </w:rPr>
        <w:t>Teaching &amp; Learning, 8</w:t>
      </w:r>
      <w:r w:rsidRPr="008C2D50">
        <w:rPr>
          <w:rFonts w:eastAsia="Times New Roman"/>
        </w:rPr>
        <w:t>(5), 17-24.</w:t>
      </w:r>
    </w:p>
    <w:p w:rsidR="006F7BAB" w:rsidRDefault="006F7BAB" w:rsidP="006F7BAB">
      <w:pPr>
        <w:rPr>
          <w:i/>
          <w:iCs/>
        </w:rPr>
      </w:pPr>
      <w:r w:rsidRPr="008C2D50">
        <w:rPr>
          <w:rFonts w:eastAsia="Times New Roman"/>
        </w:rPr>
        <w:t xml:space="preserve">Hyland, K. &amp; Hyland, F. (2012). </w:t>
      </w:r>
      <w:r w:rsidRPr="008C2D50">
        <w:rPr>
          <w:rFonts w:eastAsia="Times New Roman"/>
          <w:i/>
          <w:iCs/>
        </w:rPr>
        <w:t xml:space="preserve">Feedback in Second Language Writing. Context and </w:t>
      </w:r>
    </w:p>
    <w:p w:rsidR="006F7BAB" w:rsidRPr="008C2D50" w:rsidRDefault="006F7BAB" w:rsidP="006F7BAB">
      <w:pPr>
        <w:rPr>
          <w:lang w:val="en-GB"/>
        </w:rPr>
      </w:pPr>
      <w:r>
        <w:rPr>
          <w:i/>
          <w:iCs/>
        </w:rPr>
        <w:tab/>
      </w:r>
      <w:r w:rsidRPr="008C2D50">
        <w:rPr>
          <w:rFonts w:eastAsia="Times New Roman"/>
          <w:i/>
          <w:iCs/>
        </w:rPr>
        <w:t>Issues</w:t>
      </w:r>
      <w:r w:rsidRPr="008C2D50">
        <w:rPr>
          <w:rFonts w:eastAsia="Times New Roman"/>
        </w:rPr>
        <w:t>. Cambridge: Cambridge University Press (3</w:t>
      </w:r>
      <w:r w:rsidRPr="008C2D50">
        <w:rPr>
          <w:rFonts w:eastAsia="Times New Roman"/>
          <w:vertAlign w:val="superscript"/>
        </w:rPr>
        <w:t>rd</w:t>
      </w:r>
      <w:r w:rsidRPr="008C2D50">
        <w:rPr>
          <w:rFonts w:eastAsia="Times New Roman"/>
        </w:rPr>
        <w:t xml:space="preserve"> edition, first printed in 2006). </w:t>
      </w:r>
    </w:p>
    <w:p w:rsidR="006F7BAB" w:rsidRDefault="006F7BAB" w:rsidP="006F7BAB">
      <w:proofErr w:type="spellStart"/>
      <w:r w:rsidRPr="008C2D50">
        <w:rPr>
          <w:rFonts w:eastAsia="Times New Roman"/>
          <w:lang w:val="nl-NL"/>
        </w:rPr>
        <w:t>Kluger</w:t>
      </w:r>
      <w:proofErr w:type="spellEnd"/>
      <w:r w:rsidRPr="008C2D50">
        <w:rPr>
          <w:rFonts w:eastAsia="Times New Roman"/>
          <w:lang w:val="nl-NL"/>
        </w:rPr>
        <w:t xml:space="preserve">, A. N., &amp; </w:t>
      </w:r>
      <w:proofErr w:type="spellStart"/>
      <w:r w:rsidRPr="008C2D50">
        <w:rPr>
          <w:rFonts w:eastAsia="Times New Roman"/>
          <w:lang w:val="nl-NL"/>
        </w:rPr>
        <w:t>DeNisi</w:t>
      </w:r>
      <w:proofErr w:type="spellEnd"/>
      <w:r w:rsidRPr="008C2D50">
        <w:rPr>
          <w:rFonts w:eastAsia="Times New Roman"/>
          <w:lang w:val="nl-NL"/>
        </w:rPr>
        <w:t xml:space="preserve">, A. (1996). </w:t>
      </w:r>
      <w:r w:rsidRPr="008C2D50">
        <w:rPr>
          <w:rFonts w:eastAsia="Times New Roman"/>
        </w:rPr>
        <w:t xml:space="preserve">The Effects of Feedback Interventions on </w:t>
      </w:r>
    </w:p>
    <w:p w:rsidR="006F7BAB" w:rsidRPr="008C2D50" w:rsidRDefault="006F7BAB" w:rsidP="006F7BAB">
      <w:pPr>
        <w:rPr>
          <w:lang w:val="en-GB"/>
        </w:rPr>
      </w:pPr>
      <w:r>
        <w:tab/>
      </w:r>
      <w:r w:rsidRPr="008C2D50">
        <w:rPr>
          <w:rFonts w:eastAsia="Times New Roman"/>
        </w:rPr>
        <w:t xml:space="preserve">Performance: A Historical Review, a Meta-Analysis, and a Preliminary Feedback </w:t>
      </w:r>
      <w:r>
        <w:tab/>
      </w:r>
      <w:r w:rsidRPr="008C2D50">
        <w:rPr>
          <w:rFonts w:eastAsia="Times New Roman"/>
        </w:rPr>
        <w:t xml:space="preserve">Intervention Theory. </w:t>
      </w:r>
      <w:r w:rsidRPr="008C2D50">
        <w:rPr>
          <w:rFonts w:eastAsia="Times New Roman"/>
          <w:i/>
          <w:iCs/>
        </w:rPr>
        <w:t>Psychological Bulletin, 119</w:t>
      </w:r>
      <w:r w:rsidRPr="008C2D50">
        <w:rPr>
          <w:rFonts w:eastAsia="Times New Roman"/>
        </w:rPr>
        <w:t>(2), 254-284.</w:t>
      </w:r>
    </w:p>
    <w:p w:rsidR="006F7BAB" w:rsidRDefault="006F7BAB" w:rsidP="006F7BAB">
      <w:proofErr w:type="spellStart"/>
      <w:r w:rsidRPr="008C2D50">
        <w:rPr>
          <w:rFonts w:eastAsia="Times New Roman"/>
        </w:rPr>
        <w:t>Lundstrom</w:t>
      </w:r>
      <w:proofErr w:type="spellEnd"/>
      <w:r w:rsidRPr="008C2D50">
        <w:rPr>
          <w:rFonts w:eastAsia="Times New Roman"/>
        </w:rPr>
        <w:t xml:space="preserve">, K., &amp; Baker, W. (2009). To give is better than to receive: The benefits of peer </w:t>
      </w:r>
    </w:p>
    <w:p w:rsidR="006F7BAB" w:rsidRPr="008C2D50" w:rsidRDefault="006F7BAB" w:rsidP="006F7BAB">
      <w:pPr>
        <w:rPr>
          <w:lang w:val="en-GB"/>
        </w:rPr>
      </w:pPr>
      <w:r>
        <w:tab/>
      </w:r>
      <w:r w:rsidRPr="008C2D50">
        <w:rPr>
          <w:rFonts w:eastAsia="Times New Roman"/>
        </w:rPr>
        <w:t xml:space="preserve">review to the reviewer's own writing. </w:t>
      </w:r>
      <w:r w:rsidRPr="008C2D50">
        <w:rPr>
          <w:rFonts w:eastAsia="Times New Roman"/>
          <w:i/>
          <w:iCs/>
        </w:rPr>
        <w:t>Journal of Second Language Writing, 18</w:t>
      </w:r>
      <w:r w:rsidRPr="008C2D50">
        <w:rPr>
          <w:rFonts w:eastAsia="Times New Roman"/>
        </w:rPr>
        <w:t xml:space="preserve">, </w:t>
      </w:r>
      <w:r>
        <w:tab/>
      </w:r>
      <w:r w:rsidRPr="008C2D50">
        <w:rPr>
          <w:rFonts w:eastAsia="Times New Roman"/>
        </w:rPr>
        <w:t>30-43. doi:10.1016/j.jslw.2008.06.002</w:t>
      </w:r>
    </w:p>
    <w:p w:rsidR="006F7BAB" w:rsidRDefault="006F7BAB" w:rsidP="006F7BAB">
      <w:r w:rsidRPr="008C2D50">
        <w:rPr>
          <w:rFonts w:eastAsia="Times New Roman"/>
        </w:rPr>
        <w:t xml:space="preserve">Min, H.-T. (2005). Training students to become successful peer reviewers. </w:t>
      </w:r>
      <w:r w:rsidRPr="008C2D50">
        <w:rPr>
          <w:rFonts w:eastAsia="Times New Roman"/>
          <w:i/>
          <w:iCs/>
        </w:rPr>
        <w:t>System, 33</w:t>
      </w:r>
      <w:r w:rsidRPr="008C2D50">
        <w:rPr>
          <w:rFonts w:eastAsia="Times New Roman"/>
        </w:rPr>
        <w:t xml:space="preserve">, </w:t>
      </w:r>
    </w:p>
    <w:p w:rsidR="006F7BAB" w:rsidRPr="008C2D50" w:rsidRDefault="006F7BAB" w:rsidP="006F7BAB">
      <w:pPr>
        <w:rPr>
          <w:lang w:val="en-GB"/>
        </w:rPr>
      </w:pPr>
      <w:r>
        <w:tab/>
      </w:r>
      <w:r w:rsidRPr="008C2D50">
        <w:rPr>
          <w:rFonts w:eastAsia="Times New Roman"/>
        </w:rPr>
        <w:t>293-308. doi:10.1016/j.system.2004.11.003</w:t>
      </w:r>
    </w:p>
    <w:p w:rsidR="006F7BAB" w:rsidRDefault="006F7BAB" w:rsidP="006F7BAB">
      <w:r w:rsidRPr="008C2D50">
        <w:rPr>
          <w:rFonts w:eastAsia="Times New Roman"/>
        </w:rPr>
        <w:t xml:space="preserve">Nelson, M. M., &amp; </w:t>
      </w:r>
      <w:proofErr w:type="spellStart"/>
      <w:r w:rsidRPr="008C2D50">
        <w:rPr>
          <w:rFonts w:eastAsia="Times New Roman"/>
        </w:rPr>
        <w:t>Schunn</w:t>
      </w:r>
      <w:proofErr w:type="spellEnd"/>
      <w:r w:rsidRPr="008C2D50">
        <w:rPr>
          <w:rFonts w:eastAsia="Times New Roman"/>
        </w:rPr>
        <w:t xml:space="preserve">, C. (2009). The nature of feedback: how different kinds of peer </w:t>
      </w:r>
    </w:p>
    <w:p w:rsidR="006F7BAB" w:rsidRPr="008C2D50" w:rsidRDefault="006F7BAB" w:rsidP="006F7BAB">
      <w:pPr>
        <w:rPr>
          <w:lang w:val="en-GB"/>
        </w:rPr>
      </w:pPr>
      <w:r>
        <w:tab/>
      </w:r>
      <w:r w:rsidRPr="008C2D50">
        <w:rPr>
          <w:rFonts w:eastAsia="Times New Roman"/>
        </w:rPr>
        <w:t xml:space="preserve">feedback affect writing performance. </w:t>
      </w:r>
      <w:r w:rsidRPr="008C2D50">
        <w:rPr>
          <w:rFonts w:eastAsia="Times New Roman"/>
          <w:i/>
          <w:iCs/>
        </w:rPr>
        <w:t>Instr. Sci., 37</w:t>
      </w:r>
      <w:r w:rsidRPr="008C2D50">
        <w:rPr>
          <w:rFonts w:eastAsia="Times New Roman"/>
        </w:rPr>
        <w:t xml:space="preserve">, 375-401. </w:t>
      </w:r>
      <w:r>
        <w:tab/>
      </w:r>
      <w:r w:rsidRPr="008C2D50">
        <w:rPr>
          <w:rFonts w:eastAsia="Times New Roman"/>
        </w:rPr>
        <w:t>doi:10.1007/s11251-008-9053-x</w:t>
      </w:r>
    </w:p>
    <w:p w:rsidR="006F7BAB" w:rsidRDefault="006F7BAB" w:rsidP="006F7BAB">
      <w:r w:rsidRPr="008C2D50">
        <w:rPr>
          <w:rFonts w:eastAsia="Times New Roman"/>
        </w:rPr>
        <w:t xml:space="preserve">Nelson, S. (2000). Teaching collaborative writing and peer review techniques to </w:t>
      </w:r>
    </w:p>
    <w:p w:rsidR="006F7BAB" w:rsidRDefault="006F7BAB" w:rsidP="006F7BAB">
      <w:pPr>
        <w:rPr>
          <w:i/>
          <w:iCs/>
        </w:rPr>
      </w:pPr>
      <w:r>
        <w:tab/>
      </w:r>
      <w:r w:rsidRPr="008C2D50">
        <w:rPr>
          <w:rFonts w:eastAsia="Times New Roman"/>
        </w:rPr>
        <w:t xml:space="preserve">engineering and technology undergraduates. </w:t>
      </w:r>
      <w:r w:rsidRPr="008C2D50">
        <w:rPr>
          <w:rFonts w:eastAsia="Times New Roman"/>
          <w:i/>
          <w:iCs/>
        </w:rPr>
        <w:t xml:space="preserve">30th ASEE/IEEE Frontiers in </w:t>
      </w:r>
    </w:p>
    <w:p w:rsidR="006F7BAB" w:rsidRPr="008C2D50" w:rsidRDefault="006F7BAB" w:rsidP="006F7BAB">
      <w:pPr>
        <w:rPr>
          <w:lang w:val="en-GB"/>
        </w:rPr>
      </w:pPr>
      <w:r>
        <w:rPr>
          <w:i/>
          <w:iCs/>
        </w:rPr>
        <w:tab/>
      </w:r>
      <w:r w:rsidRPr="008C2D50">
        <w:rPr>
          <w:rFonts w:eastAsia="Times New Roman"/>
          <w:i/>
          <w:iCs/>
        </w:rPr>
        <w:t>Education Conference</w:t>
      </w:r>
      <w:r w:rsidRPr="008C2D50">
        <w:rPr>
          <w:rFonts w:eastAsia="Times New Roman"/>
        </w:rPr>
        <w:t xml:space="preserve"> (p. Session S2B). Kansas City, MO: IEEE.</w:t>
      </w:r>
    </w:p>
    <w:p w:rsidR="006F7BAB" w:rsidRDefault="006F7BAB" w:rsidP="006F7BAB">
      <w:r w:rsidRPr="008C2D50">
        <w:rPr>
          <w:rFonts w:eastAsia="Times New Roman"/>
        </w:rPr>
        <w:t xml:space="preserve">Pol, J. v., Berg, B. v., Admiraal, W., &amp; Simons, P. (2008). The nature, reception, and use </w:t>
      </w:r>
    </w:p>
    <w:p w:rsidR="006F7BAB" w:rsidRDefault="006F7BAB" w:rsidP="006F7BAB">
      <w:r>
        <w:tab/>
      </w:r>
      <w:r w:rsidRPr="008C2D50">
        <w:rPr>
          <w:rFonts w:eastAsia="Times New Roman"/>
        </w:rPr>
        <w:t xml:space="preserve">of online peer feedback in higher education. </w:t>
      </w:r>
      <w:r w:rsidRPr="008C2D50">
        <w:rPr>
          <w:rFonts w:eastAsia="Times New Roman"/>
          <w:i/>
          <w:iCs/>
        </w:rPr>
        <w:t>Computers &amp; Education, 51</w:t>
      </w:r>
      <w:r w:rsidRPr="008C2D50">
        <w:rPr>
          <w:rFonts w:eastAsia="Times New Roman"/>
        </w:rPr>
        <w:t>, 1804-</w:t>
      </w:r>
    </w:p>
    <w:p w:rsidR="006F7BAB" w:rsidRPr="008C2D50" w:rsidRDefault="006F7BAB" w:rsidP="006F7BAB">
      <w:pPr>
        <w:rPr>
          <w:lang w:val="en-GB"/>
        </w:rPr>
      </w:pPr>
      <w:r>
        <w:tab/>
      </w:r>
      <w:r w:rsidRPr="008C2D50">
        <w:rPr>
          <w:rFonts w:eastAsia="Times New Roman"/>
        </w:rPr>
        <w:t>1817. doi:10.1016/j.compedu.2008.06.001</w:t>
      </w:r>
    </w:p>
    <w:p w:rsidR="006F7BAB" w:rsidRPr="006F7BAB" w:rsidRDefault="006F7BAB" w:rsidP="006F7BAB">
      <w:pPr>
        <w:rPr>
          <w:i/>
          <w:iCs/>
          <w:lang w:val="nl-NL"/>
        </w:rPr>
      </w:pPr>
      <w:proofErr w:type="spellStart"/>
      <w:r w:rsidRPr="008C2D50">
        <w:rPr>
          <w:rFonts w:eastAsia="Times New Roman"/>
        </w:rPr>
        <w:t>Ruegg</w:t>
      </w:r>
      <w:proofErr w:type="spellEnd"/>
      <w:r w:rsidRPr="008C2D50">
        <w:rPr>
          <w:rFonts w:eastAsia="Times New Roman"/>
        </w:rPr>
        <w:t xml:space="preserve">, R. (2015). Differences in the Uptake of Peer and Teacher Feedback. </w:t>
      </w:r>
      <w:r w:rsidRPr="006F7BAB">
        <w:rPr>
          <w:rFonts w:eastAsia="Times New Roman"/>
          <w:i/>
          <w:iCs/>
          <w:lang w:val="nl-NL"/>
        </w:rPr>
        <w:t xml:space="preserve">RELC </w:t>
      </w:r>
    </w:p>
    <w:p w:rsidR="006F7BAB" w:rsidRPr="006F7BAB" w:rsidRDefault="006F7BAB" w:rsidP="006F7BAB">
      <w:pPr>
        <w:rPr>
          <w:lang w:val="nl-NL"/>
        </w:rPr>
      </w:pPr>
      <w:r w:rsidRPr="006F7BAB">
        <w:rPr>
          <w:i/>
          <w:iCs/>
          <w:lang w:val="nl-NL"/>
        </w:rPr>
        <w:tab/>
      </w:r>
      <w:proofErr w:type="spellStart"/>
      <w:r w:rsidRPr="006F7BAB">
        <w:rPr>
          <w:rFonts w:eastAsia="Times New Roman"/>
          <w:i/>
          <w:iCs/>
          <w:lang w:val="nl-NL"/>
        </w:rPr>
        <w:t>journal</w:t>
      </w:r>
      <w:proofErr w:type="spellEnd"/>
      <w:r w:rsidRPr="006F7BAB">
        <w:rPr>
          <w:rFonts w:eastAsia="Times New Roman"/>
          <w:i/>
          <w:iCs/>
          <w:lang w:val="nl-NL"/>
        </w:rPr>
        <w:t>, 46</w:t>
      </w:r>
      <w:r w:rsidRPr="006F7BAB">
        <w:rPr>
          <w:rFonts w:eastAsia="Times New Roman"/>
          <w:lang w:val="nl-NL"/>
        </w:rPr>
        <w:t>(2), 131-145. doi:10.1177/003368821452799</w:t>
      </w:r>
    </w:p>
    <w:p w:rsidR="006F7BAB" w:rsidRDefault="006F7BAB" w:rsidP="006F7BAB">
      <w:r w:rsidRPr="006F7BAB">
        <w:rPr>
          <w:rFonts w:eastAsia="Times New Roman"/>
          <w:lang w:val="nl-NL"/>
        </w:rPr>
        <w:t xml:space="preserve">Steendam, E. v., Rijlaarsdam, G., </w:t>
      </w:r>
      <w:proofErr w:type="spellStart"/>
      <w:r w:rsidRPr="006F7BAB">
        <w:rPr>
          <w:rFonts w:eastAsia="Times New Roman"/>
          <w:lang w:val="nl-NL"/>
        </w:rPr>
        <w:t>Sercu</w:t>
      </w:r>
      <w:proofErr w:type="spellEnd"/>
      <w:r w:rsidRPr="006F7BAB">
        <w:rPr>
          <w:rFonts w:eastAsia="Times New Roman"/>
          <w:lang w:val="nl-NL"/>
        </w:rPr>
        <w:t xml:space="preserve">, L., &amp; Bergh, H. v. (2010). </w:t>
      </w:r>
      <w:r w:rsidRPr="008C2D50">
        <w:rPr>
          <w:rFonts w:eastAsia="Times New Roman"/>
        </w:rPr>
        <w:t xml:space="preserve">The effect of </w:t>
      </w:r>
    </w:p>
    <w:p w:rsidR="006F7BAB" w:rsidRDefault="006F7BAB" w:rsidP="006F7BAB">
      <w:r>
        <w:tab/>
      </w:r>
      <w:r w:rsidRPr="008C2D50">
        <w:rPr>
          <w:rFonts w:eastAsia="Times New Roman"/>
        </w:rPr>
        <w:t xml:space="preserve">instruction type and dyadic or individual emulation on the quality of higher-order </w:t>
      </w:r>
    </w:p>
    <w:p w:rsidR="006F7BAB" w:rsidRPr="008C2D50" w:rsidRDefault="006F7BAB" w:rsidP="006F7BAB">
      <w:pPr>
        <w:rPr>
          <w:lang w:val="en-GB"/>
        </w:rPr>
      </w:pPr>
      <w:r>
        <w:tab/>
      </w:r>
      <w:r w:rsidRPr="008C2D50">
        <w:rPr>
          <w:rFonts w:eastAsia="Times New Roman"/>
        </w:rPr>
        <w:t xml:space="preserve">peer feedback in EFL. </w:t>
      </w:r>
      <w:r w:rsidRPr="008C2D50">
        <w:rPr>
          <w:rFonts w:eastAsia="Times New Roman"/>
          <w:i/>
          <w:iCs/>
        </w:rPr>
        <w:t>Learning and Instruction, 20</w:t>
      </w:r>
      <w:r w:rsidRPr="008C2D50">
        <w:rPr>
          <w:rFonts w:eastAsia="Times New Roman"/>
        </w:rPr>
        <w:t xml:space="preserve">, 316-327. </w:t>
      </w:r>
      <w:r>
        <w:tab/>
      </w:r>
      <w:r w:rsidRPr="008C2D50">
        <w:rPr>
          <w:rFonts w:eastAsia="Times New Roman"/>
        </w:rPr>
        <w:t>doi:10.1016/j.learninstruc.2009.08.009</w:t>
      </w:r>
    </w:p>
    <w:p w:rsidR="006F7BAB" w:rsidRDefault="006F7BAB" w:rsidP="006F7BAB">
      <w:r w:rsidRPr="008C2D50">
        <w:rPr>
          <w:rFonts w:eastAsia="Times New Roman"/>
        </w:rPr>
        <w:t xml:space="preserve">Xiao, Y., &amp; Lucking, R. (2008). The impact of two types of peer assessment on students' </w:t>
      </w:r>
    </w:p>
    <w:p w:rsidR="006F7BAB" w:rsidRDefault="006F7BAB" w:rsidP="006F7BAB">
      <w:pPr>
        <w:rPr>
          <w:i/>
          <w:iCs/>
        </w:rPr>
      </w:pPr>
      <w:r>
        <w:tab/>
      </w:r>
      <w:r w:rsidRPr="008C2D50">
        <w:rPr>
          <w:rFonts w:eastAsia="Times New Roman"/>
        </w:rPr>
        <w:t xml:space="preserve">performance and satisfaction within a Wiki environment. </w:t>
      </w:r>
      <w:r w:rsidRPr="008C2D50">
        <w:rPr>
          <w:rFonts w:eastAsia="Times New Roman"/>
          <w:i/>
          <w:iCs/>
        </w:rPr>
        <w:t xml:space="preserve">Internet and Higher </w:t>
      </w:r>
    </w:p>
    <w:p w:rsidR="006F7BAB" w:rsidRPr="008C2D50" w:rsidRDefault="006F7BAB" w:rsidP="006F7BAB">
      <w:pPr>
        <w:rPr>
          <w:lang w:val="en-GB"/>
        </w:rPr>
      </w:pPr>
      <w:r>
        <w:rPr>
          <w:i/>
          <w:iCs/>
        </w:rPr>
        <w:tab/>
      </w:r>
      <w:r w:rsidRPr="008C2D50">
        <w:rPr>
          <w:rFonts w:eastAsia="Times New Roman"/>
          <w:i/>
          <w:iCs/>
        </w:rPr>
        <w:t>Education, 11</w:t>
      </w:r>
      <w:r w:rsidRPr="008C2D50">
        <w:rPr>
          <w:rFonts w:eastAsia="Times New Roman"/>
        </w:rPr>
        <w:t>, 186-193. doi:10.1016/j.iheduc.2008.06.005</w:t>
      </w:r>
    </w:p>
    <w:p w:rsidR="006F7BAB" w:rsidRPr="006F7BAB" w:rsidRDefault="006F7BAB" w:rsidP="006F7BAB">
      <w:pPr>
        <w:rPr>
          <w:lang w:val="en-GB"/>
        </w:rPr>
      </w:pPr>
    </w:p>
    <w:p w:rsidR="00AA68A3" w:rsidRPr="006F7BAB" w:rsidRDefault="00AA68A3">
      <w:pPr>
        <w:rPr>
          <w:lang w:val="en-GB"/>
        </w:rPr>
      </w:pPr>
    </w:p>
    <w:sectPr w:rsidR="00AA68A3" w:rsidRPr="006F7BA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CF8" w:rsidRDefault="004A3CF8" w:rsidP="004A3CF8">
      <w:r>
        <w:separator/>
      </w:r>
    </w:p>
  </w:endnote>
  <w:endnote w:type="continuationSeparator" w:id="0">
    <w:p w:rsidR="004A3CF8" w:rsidRDefault="004A3CF8" w:rsidP="004A3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9781"/>
      <w:docPartObj>
        <w:docPartGallery w:val="Page Numbers (Bottom of Page)"/>
        <w:docPartUnique/>
      </w:docPartObj>
    </w:sdtPr>
    <w:sdtContent>
      <w:p w:rsidR="004A3CF8" w:rsidRDefault="004A3CF8">
        <w:pPr>
          <w:pStyle w:val="Footer"/>
          <w:jc w:val="right"/>
        </w:pPr>
        <w:r>
          <w:fldChar w:fldCharType="begin"/>
        </w:r>
        <w:r>
          <w:instrText>PAGE   \* MERGEFORMAT</w:instrText>
        </w:r>
        <w:r>
          <w:fldChar w:fldCharType="separate"/>
        </w:r>
        <w:r w:rsidRPr="004A3CF8">
          <w:rPr>
            <w:noProof/>
            <w:lang w:val="nl-NL"/>
          </w:rPr>
          <w:t>2</w:t>
        </w:r>
        <w:r>
          <w:fldChar w:fldCharType="end"/>
        </w:r>
      </w:p>
    </w:sdtContent>
  </w:sdt>
  <w:p w:rsidR="004A3CF8" w:rsidRDefault="004A3C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CF8" w:rsidRDefault="004A3CF8" w:rsidP="004A3CF8">
      <w:r>
        <w:separator/>
      </w:r>
    </w:p>
  </w:footnote>
  <w:footnote w:type="continuationSeparator" w:id="0">
    <w:p w:rsidR="004A3CF8" w:rsidRDefault="004A3CF8" w:rsidP="004A3C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A18C1"/>
    <w:multiLevelType w:val="hybridMultilevel"/>
    <w:tmpl w:val="3D703FDC"/>
    <w:lvl w:ilvl="0" w:tplc="7FE26D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8A3"/>
    <w:rsid w:val="00123095"/>
    <w:rsid w:val="00295341"/>
    <w:rsid w:val="00355D18"/>
    <w:rsid w:val="004A3CF8"/>
    <w:rsid w:val="004B6BDE"/>
    <w:rsid w:val="004C3954"/>
    <w:rsid w:val="00592378"/>
    <w:rsid w:val="0064411F"/>
    <w:rsid w:val="006F7BAB"/>
    <w:rsid w:val="00791DAE"/>
    <w:rsid w:val="008528FB"/>
    <w:rsid w:val="00972E14"/>
    <w:rsid w:val="00AA68A3"/>
    <w:rsid w:val="00B24999"/>
    <w:rsid w:val="00B34FF2"/>
    <w:rsid w:val="00C30F05"/>
    <w:rsid w:val="00C7007F"/>
    <w:rsid w:val="00DA718E"/>
    <w:rsid w:val="00E914C4"/>
    <w:rsid w:val="00EF1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8A3"/>
    <w:pPr>
      <w:ind w:left="720"/>
      <w:contextualSpacing/>
    </w:pPr>
  </w:style>
  <w:style w:type="table" w:styleId="TableGrid">
    <w:name w:val="Table Grid"/>
    <w:basedOn w:val="TableNormal"/>
    <w:uiPriority w:val="59"/>
    <w:rsid w:val="00C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5341"/>
    <w:rPr>
      <w:rFonts w:ascii="Tahoma" w:hAnsi="Tahoma" w:cs="Tahoma"/>
      <w:sz w:val="16"/>
      <w:szCs w:val="16"/>
    </w:rPr>
  </w:style>
  <w:style w:type="character" w:customStyle="1" w:styleId="BalloonTextChar">
    <w:name w:val="Balloon Text Char"/>
    <w:basedOn w:val="DefaultParagraphFont"/>
    <w:link w:val="BalloonText"/>
    <w:uiPriority w:val="99"/>
    <w:semiHidden/>
    <w:rsid w:val="00295341"/>
    <w:rPr>
      <w:rFonts w:ascii="Tahoma" w:hAnsi="Tahoma" w:cs="Tahoma"/>
      <w:sz w:val="16"/>
      <w:szCs w:val="16"/>
    </w:rPr>
  </w:style>
  <w:style w:type="character" w:customStyle="1" w:styleId="5yl5">
    <w:name w:val="_5yl5"/>
    <w:basedOn w:val="DefaultParagraphFont"/>
    <w:rsid w:val="006F7BAB"/>
  </w:style>
  <w:style w:type="paragraph" w:styleId="Header">
    <w:name w:val="header"/>
    <w:basedOn w:val="Normal"/>
    <w:link w:val="HeaderChar"/>
    <w:uiPriority w:val="99"/>
    <w:unhideWhenUsed/>
    <w:rsid w:val="004A3CF8"/>
    <w:pPr>
      <w:tabs>
        <w:tab w:val="center" w:pos="4536"/>
        <w:tab w:val="right" w:pos="9072"/>
      </w:tabs>
    </w:pPr>
  </w:style>
  <w:style w:type="character" w:customStyle="1" w:styleId="HeaderChar">
    <w:name w:val="Header Char"/>
    <w:basedOn w:val="DefaultParagraphFont"/>
    <w:link w:val="Header"/>
    <w:uiPriority w:val="99"/>
    <w:rsid w:val="004A3CF8"/>
  </w:style>
  <w:style w:type="paragraph" w:styleId="Footer">
    <w:name w:val="footer"/>
    <w:basedOn w:val="Normal"/>
    <w:link w:val="FooterChar"/>
    <w:uiPriority w:val="99"/>
    <w:unhideWhenUsed/>
    <w:rsid w:val="004A3CF8"/>
    <w:pPr>
      <w:tabs>
        <w:tab w:val="center" w:pos="4536"/>
        <w:tab w:val="right" w:pos="9072"/>
      </w:tabs>
    </w:pPr>
  </w:style>
  <w:style w:type="character" w:customStyle="1" w:styleId="FooterChar">
    <w:name w:val="Footer Char"/>
    <w:basedOn w:val="DefaultParagraphFont"/>
    <w:link w:val="Footer"/>
    <w:uiPriority w:val="99"/>
    <w:rsid w:val="004A3C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8A3"/>
    <w:pPr>
      <w:ind w:left="720"/>
      <w:contextualSpacing/>
    </w:pPr>
  </w:style>
  <w:style w:type="table" w:styleId="TableGrid">
    <w:name w:val="Table Grid"/>
    <w:basedOn w:val="TableNormal"/>
    <w:uiPriority w:val="59"/>
    <w:rsid w:val="00C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5341"/>
    <w:rPr>
      <w:rFonts w:ascii="Tahoma" w:hAnsi="Tahoma" w:cs="Tahoma"/>
      <w:sz w:val="16"/>
      <w:szCs w:val="16"/>
    </w:rPr>
  </w:style>
  <w:style w:type="character" w:customStyle="1" w:styleId="BalloonTextChar">
    <w:name w:val="Balloon Text Char"/>
    <w:basedOn w:val="DefaultParagraphFont"/>
    <w:link w:val="BalloonText"/>
    <w:uiPriority w:val="99"/>
    <w:semiHidden/>
    <w:rsid w:val="00295341"/>
    <w:rPr>
      <w:rFonts w:ascii="Tahoma" w:hAnsi="Tahoma" w:cs="Tahoma"/>
      <w:sz w:val="16"/>
      <w:szCs w:val="16"/>
    </w:rPr>
  </w:style>
  <w:style w:type="character" w:customStyle="1" w:styleId="5yl5">
    <w:name w:val="_5yl5"/>
    <w:basedOn w:val="DefaultParagraphFont"/>
    <w:rsid w:val="006F7BAB"/>
  </w:style>
  <w:style w:type="paragraph" w:styleId="Header">
    <w:name w:val="header"/>
    <w:basedOn w:val="Normal"/>
    <w:link w:val="HeaderChar"/>
    <w:uiPriority w:val="99"/>
    <w:unhideWhenUsed/>
    <w:rsid w:val="004A3CF8"/>
    <w:pPr>
      <w:tabs>
        <w:tab w:val="center" w:pos="4536"/>
        <w:tab w:val="right" w:pos="9072"/>
      </w:tabs>
    </w:pPr>
  </w:style>
  <w:style w:type="character" w:customStyle="1" w:styleId="HeaderChar">
    <w:name w:val="Header Char"/>
    <w:basedOn w:val="DefaultParagraphFont"/>
    <w:link w:val="Header"/>
    <w:uiPriority w:val="99"/>
    <w:rsid w:val="004A3CF8"/>
  </w:style>
  <w:style w:type="paragraph" w:styleId="Footer">
    <w:name w:val="footer"/>
    <w:basedOn w:val="Normal"/>
    <w:link w:val="FooterChar"/>
    <w:uiPriority w:val="99"/>
    <w:unhideWhenUsed/>
    <w:rsid w:val="004A3CF8"/>
    <w:pPr>
      <w:tabs>
        <w:tab w:val="center" w:pos="4536"/>
        <w:tab w:val="right" w:pos="9072"/>
      </w:tabs>
    </w:pPr>
  </w:style>
  <w:style w:type="character" w:customStyle="1" w:styleId="FooterChar">
    <w:name w:val="Footer Char"/>
    <w:basedOn w:val="DefaultParagraphFont"/>
    <w:link w:val="Footer"/>
    <w:uiPriority w:val="99"/>
    <w:rsid w:val="004A3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58DE6CD2</Template>
  <TotalTime>228</TotalTime>
  <Pages>6</Pages>
  <Words>1890</Words>
  <Characters>10401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12267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Angeniet Kam - TBM</dc:creator>
  <cp:lastModifiedBy>Angeniet Kam - TBM</cp:lastModifiedBy>
  <cp:revision>6</cp:revision>
  <dcterms:created xsi:type="dcterms:W3CDTF">2016-05-18T06:39:00Z</dcterms:created>
  <dcterms:modified xsi:type="dcterms:W3CDTF">2016-05-20T17:29:00Z</dcterms:modified>
</cp:coreProperties>
</file>