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b/>
          <w:bCs/>
          <w:color w:val="000000"/>
          <w:sz w:val="34"/>
          <w:szCs w:val="34"/>
          <w:shd w:val="clear" w:fill="FEFFFE" w:color="FEFFFE"/>
          <w:lang w:eastAsia="nl-NL"/>
        </w:rPr>
        <w:t xml:space="preserve">Minister Koolmees: fysiek onderwijs mag niet</w:t>
      </w:r>
      <w:r>
        <w:rPr>
          <w:rFonts w:ascii="Arial" w:hAnsi="Arial" w:cs="Arial" w:eastAsia="Times New Roman"/>
          <w:b/>
          <w:bCs/>
          <w:color w:val="000000"/>
          <w:sz w:val="34"/>
          <w:szCs w:val="34"/>
          <w:shd w:val="clear" w:fill="FEFFFE" w:color="FEFFFE"/>
          <w:lang w:eastAsia="nl-NL"/>
        </w:rPr>
        <w:br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In het Algemeen Overleg over inburgering van 3 februari jongstleden heeft minister Koolmees op vragen van D66 over het doorgaan van fysiek onderwijs op taalscholen en 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ROC’s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 het volgende geantwoord: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‘’Het fysiek inburgeringsonderwijs kan in principe geen doorgang vinden tijdens de strenge 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lockdown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. Dat is ook vastgelegd in het corona-servicedocument op de website van Blik op Werk.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Als dat toch gebeurt (….) mag (dat) niet, dan kan er ook sprake zijn van onveilige situaties.’’</w:t>
      </w:r>
      <w:r/>
    </w:p>
    <w:p>
      <w:pPr>
        <w:spacing w:lineRule="auto" w:line="240" w:after="0"/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De minister gaf aan dat onveilige situaties doorgegeven kunnen worden aan de inspectie van het ministerie van SZW of de GGD.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nl-NL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nl-NL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b/>
          <w:bCs/>
          <w:color w:val="000000"/>
          <w:sz w:val="30"/>
          <w:szCs w:val="30"/>
          <w:shd w:val="clear" w:fill="FEFFFE" w:color="FEFFFE"/>
          <w:lang w:eastAsia="nl-NL"/>
        </w:rPr>
        <w:t xml:space="preserve">De BVNT adviseert taalaanbieders zich aan de voorschriften van de minister en Blik Op Werk te houden. </w:t>
      </w:r>
      <w:r>
        <w:rPr>
          <w:rFonts w:ascii="Arial" w:hAnsi="Arial" w:cs="Arial" w:eastAsia="Times New Roman"/>
          <w:b/>
          <w:bCs/>
          <w:color w:val="000000"/>
          <w:sz w:val="30"/>
          <w:szCs w:val="30"/>
          <w:shd w:val="clear" w:fill="FEFFFE" w:color="FEFFFE"/>
          <w:lang w:eastAsia="nl-NL"/>
        </w:rPr>
        <w:br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Bij docenten en taalaanbieders is er grote onduidelijkheid over het wel of niet doorgaan van fysiek onderwijs in verband met de verscherpte maatregelen tijdens de huidige 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lockdown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. Sommige taalaanbieders, waaronder taalscholen en 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ROC’s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, geven nog steeds fysiek les. De cursisten zouden vallen onder ‘kwetsbare cursisten’ of om een andere reden geen online onderwijs kunnen volgen.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Met het geven van fysieke les brengen deze taalaanbieders niet alleen de gezondheid van hun cursisten maar ook die van hun docenten in gevaar.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De minister verwees afgelopen dinsdag 3 febr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uari naar het corona-document van Blik Op Werk (artikel 6.10 van de Tijdelijke Regeling Maatregelen covid-19). In het document van BOW staat dat ‘er thans geen onderwijsactiviteiten worden verricht in onderwijsinstellingen. Dit geldt ook voor taalscholen.’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Voor dit verbod zijn een aantal uitzonderingen opgenomen. Een van de uitzonderingen is afstandsonderwijs, dat aan een aantal voorwaarden moet voldoen.</w:t>
      </w:r>
      <w:r/>
    </w:p>
    <w:p>
      <w:pPr>
        <w:spacing w:lineRule="auto" w:line="240" w:after="0"/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De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 v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eiligheidsregio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’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s 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hebben 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na vragen van de BVNT2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 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gesteld dat fysiek onderwijs niet mag. Zij adviseren onveilige situaties te melden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br/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I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n debat gemist kunt u dit overleg terugkijken.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 </w:t>
      </w: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Na 2.30 uur is het antwoord van de minister te horen.</w:t>
      </w:r>
      <w:r/>
    </w:p>
    <w:p>
      <w:pPr>
        <w:spacing w:lineRule="auto" w:line="240" w:after="0"/>
        <w:rPr>
          <w:rFonts w:ascii="Arial" w:hAnsi="Arial" w:cs="Arial" w:eastAsia="Times New Roman"/>
          <w:b/>
          <w:bCs/>
          <w:color w:val="0A66C2"/>
          <w:sz w:val="30"/>
          <w:szCs w:val="30"/>
          <w:u w:val="single"/>
          <w:shd w:val="clear" w:fill="FEFFFE" w:color="FEFFFE"/>
          <w:lang w:eastAsia="nl-NL"/>
        </w:rPr>
      </w:pPr>
      <w:r/>
      <w:hyperlink r:id="rId8" w:tooltip="https://debatdirect.tweedekamer.nl/2021-02-03/sociale-zaken-werk/groen-van-prinstererzaal/inburgering-en-integratie-14-00/onderwerp?debate_title=Inburgering(swet)&amp;debate_slug=inburgering-en-integratie-14-00&amp;debate_starts_at=2021-02-03T14%3A00%3A00%2B0100&amp;debate_id=29a93b0c-d5ba-47f7-b97a-c75e4ae5386e" w:history="1">
        <w:r>
          <w:rPr>
            <w:rStyle w:val="172"/>
            <w:rFonts w:ascii="Arial" w:hAnsi="Arial" w:cs="Arial" w:eastAsia="Times New Roman"/>
            <w:b/>
            <w:bCs/>
            <w:sz w:val="30"/>
            <w:szCs w:val="30"/>
            <w:shd w:val="clear" w:fill="FEFFFE" w:color="FEFFFE"/>
            <w:lang w:eastAsia="nl-NL"/>
          </w:rPr>
          <w:t xml:space="preserve">https://lnkd.in/eWAcmaU</w:t>
        </w:r>
      </w:hyperlink>
      <w:r/>
      <w:r/>
    </w:p>
    <w:p>
      <w:pPr>
        <w:spacing w:lineRule="auto" w:line="240" w:after="0"/>
        <w:rPr>
          <w:rFonts w:ascii="Arial" w:hAnsi="Arial" w:cs="Arial" w:eastAsia="Times New Roman"/>
          <w:b/>
          <w:bCs/>
          <w:color w:val="0A66C2"/>
          <w:sz w:val="30"/>
          <w:szCs w:val="30"/>
          <w:u w:val="single"/>
          <w:shd w:val="clear" w:fill="FEFFFE" w:color="FEFFFE"/>
          <w:lang w:eastAsia="nl-NL"/>
        </w:rPr>
      </w:pPr>
      <w:r>
        <w:rPr>
          <w:rFonts w:ascii="Arial" w:hAnsi="Arial" w:cs="Arial" w:eastAsia="Times New Roman"/>
          <w:b/>
          <w:bCs/>
          <w:color w:val="8344CC"/>
          <w:sz w:val="32"/>
          <w:szCs w:val="32"/>
          <w:shd w:val="clear" w:fill="FEFFFE" w:color="FEFFFE"/>
          <w:lang w:eastAsia="nl-NL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126365</wp:posOffset>
                </wp:positionV>
                <wp:extent cx="2247900" cy="1176362"/>
                <wp:effectExtent l="0" t="0" r="0" b="5080"/>
                <wp:wrapNone/>
                <wp:docPr id="1" name="Afbeelding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47900" cy="117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3.1pt;mso-position-horizontal:absolute;mso-position-vertical-relative:text;margin-top:9.9pt;mso-position-vertical:absolute;width:177.0pt;height:92.6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lineRule="auto" w:line="240" w:after="0"/>
        <w:rPr>
          <w:rFonts w:ascii="Arial" w:hAnsi="Arial" w:cs="Arial" w:eastAsia="Times New Roman"/>
          <w:b/>
          <w:bCs/>
          <w:color w:val="0A66C2"/>
          <w:sz w:val="30"/>
          <w:szCs w:val="30"/>
          <w:u w:val="single"/>
          <w:shd w:val="clear" w:fill="FEFFFE" w:color="FEFFFE"/>
          <w:lang w:eastAsia="nl-NL"/>
        </w:rPr>
      </w:pPr>
      <w:r>
        <w:rPr>
          <w:rFonts w:ascii="Arial" w:hAnsi="Arial" w:cs="Arial" w:eastAsia="Times New Roman"/>
          <w:b/>
          <w:bCs/>
          <w:color w:val="0A66C2"/>
          <w:sz w:val="30"/>
          <w:szCs w:val="30"/>
          <w:u w:val="single"/>
          <w:shd w:val="clear" w:fill="FEFFFE" w:color="FEFFFE"/>
          <w:lang w:eastAsia="nl-NL"/>
        </w:rPr>
      </w:r>
      <w:r/>
    </w:p>
    <w:p>
      <w:pPr>
        <w:spacing w:lineRule="auto" w:line="240" w:after="0"/>
        <w:rPr>
          <w:rFonts w:ascii="Arial" w:hAnsi="Arial" w:cs="Arial" w:eastAsia="Times New Roman"/>
          <w:b/>
          <w:bCs/>
          <w:color w:val="0A66C2"/>
          <w:sz w:val="30"/>
          <w:szCs w:val="30"/>
          <w:u w:val="single"/>
          <w:shd w:val="clear" w:fill="FEFFFE" w:color="FEFFFE"/>
          <w:lang w:eastAsia="nl-NL"/>
        </w:rPr>
      </w:pPr>
      <w:r>
        <w:rPr>
          <w:rFonts w:ascii="Arial" w:hAnsi="Arial" w:cs="Arial" w:eastAsia="Times New Roman"/>
          <w:b/>
          <w:bCs/>
          <w:color w:val="0A66C2"/>
          <w:sz w:val="30"/>
          <w:szCs w:val="30"/>
          <w:u w:val="single"/>
          <w:shd w:val="clear" w:fill="FEFFFE" w:color="FEFFFE"/>
          <w:lang w:eastAsia="nl-NL"/>
        </w:rPr>
      </w:r>
      <w:r/>
    </w:p>
    <w:p>
      <w:pPr>
        <w:spacing w:lineRule="auto" w:line="240" w:after="0"/>
        <w:rPr>
          <w:rFonts w:ascii="Arial" w:hAnsi="Arial" w:cs="Arial" w:eastAsia="Times New Roman"/>
          <w:b/>
          <w:bCs/>
          <w:color w:val="0A66C2"/>
          <w:sz w:val="30"/>
          <w:szCs w:val="30"/>
          <w:u w:val="single"/>
          <w:shd w:val="clear" w:fill="FEFFFE" w:color="FEFFFE"/>
          <w:lang w:eastAsia="nl-NL"/>
        </w:rPr>
      </w:pPr>
      <w:r>
        <w:rPr>
          <w:rFonts w:ascii="Arial" w:hAnsi="Arial" w:cs="Arial" w:eastAsia="Times New Roman"/>
          <w:b/>
          <w:bCs/>
          <w:color w:val="0A66C2"/>
          <w:sz w:val="30"/>
          <w:szCs w:val="30"/>
          <w:u w:val="single"/>
          <w:shd w:val="clear" w:fill="FEFFFE" w:color="FEFFFE"/>
          <w:lang w:eastAsia="nl-NL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nl-NL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nl-NL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nl-NL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Bestuur van de BVNT2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Werkgroep Inburgering</w:t>
      </w:r>
      <w:r/>
    </w:p>
    <w:p>
      <w:pPr>
        <w:spacing w:lineRule="auto" w:line="240" w:after="0"/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Werkgroep Alfabetisering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nl-NL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nl-NL"/>
        </w:rPr>
      </w:pPr>
      <w:r>
        <w:rPr>
          <w:rFonts w:ascii="Arial" w:hAnsi="Arial" w:cs="Arial" w:eastAsia="Times New Roman"/>
          <w:color w:val="000000"/>
          <w:sz w:val="30"/>
          <w:szCs w:val="30"/>
          <w:shd w:val="clear" w:fill="FEFFFE" w:color="FEFFFE"/>
          <w:lang w:eastAsia="nl-NL"/>
        </w:rPr>
        <w:t xml:space="preserve">17 februari 2021</w:t>
      </w:r>
      <w:r/>
    </w:p>
    <w:p>
      <w:r/>
      <w:r/>
    </w:p>
    <w:sectPr>
      <w:footnotePr/>
      <w:endnotePr/>
      <w:type w:val="nextPage"/>
      <w:pgSz w:w="11906" w:h="16838" w:orient="portrait"/>
      <w:pgMar w:top="1417" w:right="1417" w:bottom="568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nl-NL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ebatdirect.tweedekamer.nl/2021-02-03/sociale-zaken-werk/groen-van-prinstererzaal/inburgering-en-integratie-14-00/onderwerp?debate_title=Inburgering(swet)&amp;debate_slug=inburgering-en-integratie-14-00&amp;debate_starts_at=2021-02-03T14%3A00%3A00%2B0100&amp;debate_id=29a93b0c-d5ba-47f7-b97a-c75e4ae5386e" TargetMode="External"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toor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ONLYOFFICE/6.1.0.87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Vossen</dc:creator>
  <cp:keywords/>
  <dc:description/>
  <cp:revision>7</cp:revision>
  <dcterms:created xsi:type="dcterms:W3CDTF">2021-02-17T12:11:00Z</dcterms:created>
  <dcterms:modified xsi:type="dcterms:W3CDTF">2021-02-19T16:03:40Z</dcterms:modified>
</cp:coreProperties>
</file>